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F187A" w14:textId="77777777" w:rsidR="005A06D0" w:rsidRDefault="005A06D0" w:rsidP="005A06D0">
      <w:pPr>
        <w:spacing w:before="480" w:after="600" w:line="240" w:lineRule="auto"/>
        <w:rPr>
          <w:rFonts w:ascii="Avenir Next LT Pro" w:eastAsiaTheme="majorEastAsia" w:hAnsi="Avenir Next LT Pro" w:cstheme="majorBidi"/>
          <w:b/>
          <w:color w:val="0066B3"/>
          <w:spacing w:val="-10"/>
          <w:kern w:val="28"/>
          <w:sz w:val="56"/>
          <w:szCs w:val="56"/>
        </w:rPr>
      </w:pPr>
    </w:p>
    <w:p w14:paraId="2BEFD615" w14:textId="1AC12B84" w:rsidR="005A06D0" w:rsidRPr="005A06D0" w:rsidRDefault="005A06D0" w:rsidP="005A06D0">
      <w:pPr>
        <w:spacing w:before="480" w:after="600" w:line="240" w:lineRule="auto"/>
        <w:rPr>
          <w:rFonts w:ascii="Avenir Next LT Pro" w:eastAsiaTheme="majorEastAsia" w:hAnsi="Avenir Next LT Pro" w:cstheme="majorBidi"/>
          <w:b/>
          <w:color w:val="0066B3"/>
          <w:spacing w:val="-10"/>
          <w:kern w:val="28"/>
          <w:sz w:val="56"/>
          <w:szCs w:val="56"/>
        </w:rPr>
      </w:pPr>
      <w:r w:rsidRPr="005A06D0">
        <w:rPr>
          <w:rFonts w:ascii="Avenir Next LT Pro" w:eastAsiaTheme="majorEastAsia" w:hAnsi="Avenir Next LT Pro" w:cstheme="majorBidi"/>
          <w:b/>
          <w:color w:val="0066B3"/>
          <w:spacing w:val="-10"/>
          <w:kern w:val="28"/>
          <w:sz w:val="56"/>
          <w:szCs w:val="56"/>
        </w:rPr>
        <w:t>Vertical CADD Standards</w:t>
      </w:r>
    </w:p>
    <w:p w14:paraId="2AF49B87" w14:textId="77777777" w:rsidR="005A06D0" w:rsidRPr="005A06D0" w:rsidRDefault="005A06D0" w:rsidP="005A06D0">
      <w:pPr>
        <w:numPr>
          <w:ilvl w:val="1"/>
          <w:numId w:val="0"/>
        </w:numPr>
        <w:spacing w:before="360" w:after="360" w:line="240" w:lineRule="auto"/>
        <w:rPr>
          <w:rFonts w:ascii="Avenir Next LT Pro" w:eastAsiaTheme="minorEastAsia" w:hAnsi="Avenir Next LT Pro"/>
          <w:color w:val="5A5A5A" w:themeColor="text1" w:themeTint="A5"/>
          <w:spacing w:val="15"/>
          <w:sz w:val="40"/>
        </w:rPr>
      </w:pPr>
      <w:r w:rsidRPr="005A06D0">
        <w:rPr>
          <w:rFonts w:ascii="Avenir Next LT Pro" w:eastAsiaTheme="minorEastAsia" w:hAnsi="Avenir Next LT Pro"/>
          <w:color w:val="5A5A5A" w:themeColor="text1" w:themeTint="A5"/>
          <w:spacing w:val="15"/>
          <w:sz w:val="40"/>
        </w:rPr>
        <w:t>Version 1.3</w:t>
      </w:r>
    </w:p>
    <w:p w14:paraId="04FF50DB" w14:textId="77777777" w:rsidR="005A06D0" w:rsidRPr="005A06D0" w:rsidRDefault="005A06D0" w:rsidP="005A06D0">
      <w:pPr>
        <w:rPr>
          <w:rFonts w:ascii="Avenir Next LT Pro" w:hAnsi="Avenir Next LT Pro"/>
          <w:sz w:val="28"/>
        </w:rPr>
      </w:pPr>
      <w:r w:rsidRPr="005A06D0">
        <w:rPr>
          <w:rFonts w:ascii="Avenir Next LT Pro" w:hAnsi="Avenir Next LT Pro"/>
          <w:sz w:val="28"/>
        </w:rPr>
        <w:t>November 18, 2020</w:t>
      </w:r>
    </w:p>
    <w:p w14:paraId="11F79914" w14:textId="77777777" w:rsidR="00A00173" w:rsidRDefault="005A06D0" w:rsidP="005A06D0">
      <w:pPr>
        <w:pStyle w:val="Divider"/>
        <w:ind w:left="0" w:firstLine="0"/>
        <w:jc w:val="left"/>
      </w:pPr>
      <w:r>
        <w:t>3</w:t>
      </w:r>
      <w:r w:rsidR="00BD0C47">
        <w:t xml:space="preserve">D Design </w:t>
      </w:r>
      <w:r w:rsidR="00BE16EE">
        <w:t xml:space="preserve">Review Checklist </w:t>
      </w:r>
      <w:r w:rsidR="00C42C3C">
        <w:t>Example</w:t>
      </w:r>
      <w:r w:rsidR="00A00173">
        <w:t>s</w:t>
      </w:r>
    </w:p>
    <w:p w14:paraId="53E42757" w14:textId="77777777" w:rsidR="00A00173" w:rsidRPr="00A00173" w:rsidRDefault="00A00173" w:rsidP="00A00173"/>
    <w:p w14:paraId="3383D8D2" w14:textId="77777777" w:rsidR="00A00173" w:rsidRPr="00A00173" w:rsidRDefault="00A00173" w:rsidP="00A00173"/>
    <w:p w14:paraId="7C23CA63" w14:textId="77777777" w:rsidR="00A00173" w:rsidRPr="00A00173" w:rsidRDefault="00A00173" w:rsidP="00A00173"/>
    <w:p w14:paraId="2D49FCBC" w14:textId="77777777" w:rsidR="00A00173" w:rsidRPr="00A00173" w:rsidRDefault="00A00173" w:rsidP="00A00173"/>
    <w:p w14:paraId="41568204" w14:textId="77777777" w:rsidR="00A00173" w:rsidRPr="00A00173" w:rsidRDefault="00A00173" w:rsidP="00A00173"/>
    <w:p w14:paraId="18D2F253" w14:textId="77777777" w:rsidR="00A00173" w:rsidRPr="00A00173" w:rsidRDefault="00A00173" w:rsidP="00A00173"/>
    <w:p w14:paraId="770A87ED" w14:textId="77777777" w:rsidR="00A00173" w:rsidRPr="00A00173" w:rsidRDefault="00A00173" w:rsidP="00A00173"/>
    <w:p w14:paraId="213FFCC3" w14:textId="77777777" w:rsidR="00A00173" w:rsidRPr="00A00173" w:rsidRDefault="00A00173" w:rsidP="00A00173"/>
    <w:p w14:paraId="110311D0" w14:textId="77777777" w:rsidR="00A00173" w:rsidRPr="00A00173" w:rsidRDefault="00A00173" w:rsidP="00A00173"/>
    <w:p w14:paraId="6AAB9899" w14:textId="77777777" w:rsidR="00A00173" w:rsidRDefault="00A00173" w:rsidP="00A00173">
      <w:pPr>
        <w:rPr>
          <w:rFonts w:ascii="Avenir Next LT Pro" w:hAnsi="Avenir Next LT Pro"/>
          <w:color w:val="404040" w:themeColor="text1" w:themeTint="BF"/>
          <w:sz w:val="32"/>
          <w:szCs w:val="26"/>
        </w:rPr>
      </w:pPr>
    </w:p>
    <w:p w14:paraId="5B4B6DE1" w14:textId="2B39BB03" w:rsidR="00A00173" w:rsidRPr="00A00173" w:rsidRDefault="00A00173" w:rsidP="00A00173">
      <w:pPr>
        <w:tabs>
          <w:tab w:val="left" w:pos="3465"/>
        </w:tabs>
        <w:sectPr w:rsidR="00A00173" w:rsidRPr="00A00173" w:rsidSect="00CB7D09">
          <w:headerReference w:type="default" r:id="rId8"/>
          <w:pgSz w:w="12240" w:h="15840" w:code="1"/>
          <w:pgMar w:top="1440" w:right="1440" w:bottom="1440" w:left="1440" w:header="144" w:footer="576" w:gutter="0"/>
          <w:cols w:space="720"/>
          <w:docGrid w:linePitch="360"/>
        </w:sectPr>
      </w:pPr>
      <w:r>
        <w:tab/>
      </w:r>
    </w:p>
    <w:p w14:paraId="3254FCA7" w14:textId="0FA10C4B" w:rsidR="00270AF8" w:rsidRDefault="00270AF8" w:rsidP="008A2299">
      <w:pPr>
        <w:pStyle w:val="AppHeading1"/>
        <w:numPr>
          <w:ilvl w:val="0"/>
          <w:numId w:val="0"/>
        </w:numPr>
        <w:ind w:left="900" w:hanging="900"/>
      </w:pPr>
      <w:bookmarkStart w:id="0" w:name="_Hlk54861571"/>
      <w:r>
        <w:lastRenderedPageBreak/>
        <w:t>3D Design Review Checklist Sample</w:t>
      </w:r>
      <w:bookmarkEnd w:id="0"/>
    </w:p>
    <w:p w14:paraId="016D66D1" w14:textId="77777777" w:rsidR="00270AF8" w:rsidRDefault="00270AF8" w:rsidP="008A2299">
      <w:pPr>
        <w:pStyle w:val="AppHeading2"/>
        <w:numPr>
          <w:ilvl w:val="0"/>
          <w:numId w:val="0"/>
        </w:numPr>
        <w:ind w:left="900" w:hanging="900"/>
        <w:rPr>
          <w:sz w:val="24"/>
          <w:szCs w:val="24"/>
        </w:rPr>
      </w:pPr>
      <w:bookmarkStart w:id="1" w:name="_Toc52486749"/>
      <w:r>
        <w:t>Model Element and Design Checklist</w:t>
      </w:r>
      <w:bookmarkEnd w:id="1"/>
    </w:p>
    <w:p w14:paraId="5D0E12BA" w14:textId="2E6CCC83" w:rsidR="00270AF8" w:rsidRDefault="00270AF8" w:rsidP="00E72D63">
      <w:r>
        <w:t xml:space="preserve">The tables below provided </w:t>
      </w:r>
      <w:r w:rsidR="00C42C3C">
        <w:t xml:space="preserve">examples of </w:t>
      </w:r>
      <w:r>
        <w:t>criteria to be checked during a 3D Design Review process. This content should be</w:t>
      </w:r>
      <w:r w:rsidR="00C42C3C">
        <w:t xml:space="preserve"> developed on a project-specific basis and</w:t>
      </w:r>
      <w:r>
        <w:t xml:space="preserve"> reviewed in conjunction with the Level of Development </w:t>
      </w:r>
      <w:r w:rsidR="00C42C3C">
        <w:t xml:space="preserve">(LOD) </w:t>
      </w:r>
      <w:r>
        <w:t>and Level of Information</w:t>
      </w:r>
      <w:r w:rsidR="00C42C3C">
        <w:t xml:space="preserve"> (LOI)</w:t>
      </w:r>
      <w:r>
        <w:t xml:space="preserve"> requirements set out in the Region of Peel CAD Standards and the project specific 3D Design Execution Plan.</w:t>
      </w:r>
      <w:r w:rsidR="00B227A3">
        <w:t xml:space="preserve"> </w:t>
      </w:r>
      <w:bookmarkStart w:id="2" w:name="_Toc42535472"/>
      <w:r>
        <w:t>This list</w:t>
      </w:r>
      <w:r w:rsidR="00A00173">
        <w:t xml:space="preserve"> below includes examples,</w:t>
      </w:r>
      <w:r>
        <w:t xml:space="preserve"> </w:t>
      </w:r>
      <w:r w:rsidR="00A00173">
        <w:t xml:space="preserve">it </w:t>
      </w:r>
      <w:r>
        <w:t xml:space="preserve">is not </w:t>
      </w:r>
      <w:r w:rsidR="00C42C3C">
        <w:t xml:space="preserve">necessarily </w:t>
      </w:r>
      <w:r>
        <w:t xml:space="preserve">inclusive and </w:t>
      </w:r>
      <w:r w:rsidR="00C42C3C">
        <w:t xml:space="preserve">items many </w:t>
      </w:r>
      <w:proofErr w:type="gramStart"/>
      <w:r w:rsidR="00C42C3C">
        <w:t>not be</w:t>
      </w:r>
      <w:proofErr w:type="gramEnd"/>
      <w:r w:rsidR="00C42C3C">
        <w:t xml:space="preserve"> applicable</w:t>
      </w:r>
      <w:r w:rsidR="00A00173">
        <w:t xml:space="preserve"> to a specific project</w:t>
      </w:r>
      <w:r>
        <w:t xml:space="preserve">. </w:t>
      </w:r>
    </w:p>
    <w:p w14:paraId="1EEE7FE7" w14:textId="40E6A89A" w:rsidR="00A00173" w:rsidRPr="00A00173" w:rsidRDefault="00A00173" w:rsidP="00E72D63">
      <w:pPr>
        <w:rPr>
          <w:b/>
          <w:bCs/>
        </w:rPr>
      </w:pPr>
      <w:r w:rsidRPr="00A00173">
        <w:rPr>
          <w:b/>
          <w:bCs/>
        </w:rPr>
        <w:t>Example Design Review Checklists</w:t>
      </w:r>
    </w:p>
    <w:tbl>
      <w:tblPr>
        <w:tblStyle w:val="TableGrid1"/>
        <w:tblW w:w="5000" w:type="pct"/>
        <w:tblInd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1257"/>
        <w:gridCol w:w="3599"/>
      </w:tblGrid>
      <w:tr w:rsidR="00270AF8" w14:paraId="37712D9C" w14:textId="77777777" w:rsidTr="00A00173">
        <w:trPr>
          <w:tblHeader/>
        </w:trPr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7FF14940" w14:textId="77777777" w:rsidR="00270AF8" w:rsidRDefault="00270AF8" w:rsidP="00E72D63">
            <w:pPr>
              <w:pStyle w:val="TableHeading"/>
              <w:rPr>
                <w:lang w:val="en-CA"/>
              </w:rPr>
            </w:pPr>
            <w:bookmarkStart w:id="3" w:name="_Toc52486750"/>
            <w:r>
              <w:rPr>
                <w:lang w:val="en-CA"/>
              </w:rPr>
              <w:t>General and Safety</w:t>
            </w:r>
            <w:bookmarkEnd w:id="3"/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66942631" w14:textId="77777777" w:rsidR="00270AF8" w:rsidRDefault="00270AF8" w:rsidP="00E72D63">
            <w:pPr>
              <w:pStyle w:val="TableHeading"/>
              <w:rPr>
                <w:rFonts w:eastAsiaTheme="minorEastAsia"/>
              </w:rPr>
            </w:pPr>
            <w:r>
              <w:rPr>
                <w:rFonts w:eastAsiaTheme="minorEastAsia"/>
              </w:rPr>
              <w:t>Complete</w:t>
            </w: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5C8A0F13" w14:textId="77777777" w:rsidR="00270AF8" w:rsidRDefault="00270AF8" w:rsidP="00E72D63">
            <w:pPr>
              <w:pStyle w:val="TableHeading"/>
              <w:rPr>
                <w:rFonts w:eastAsiaTheme="minorEastAsia"/>
              </w:rPr>
            </w:pPr>
            <w:r>
              <w:rPr>
                <w:rFonts w:eastAsiaTheme="minorEastAsia"/>
              </w:rPr>
              <w:t>Comment</w:t>
            </w:r>
          </w:p>
        </w:tc>
      </w:tr>
      <w:tr w:rsidR="00270AF8" w14:paraId="089BE691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BEF8E1F" w14:textId="77777777" w:rsidR="00270AF8" w:rsidRDefault="00270AF8" w:rsidP="00E72D63">
            <w:pPr>
              <w:pStyle w:val="TableText"/>
            </w:pPr>
            <w:r>
              <w:t>Interdisciplinary model review is conducted, and all the comments are documented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02BE394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EC64D9A" w14:textId="77777777" w:rsidR="00270AF8" w:rsidRDefault="00270AF8" w:rsidP="00E72D63">
            <w:pPr>
              <w:pStyle w:val="TableText"/>
            </w:pPr>
          </w:p>
        </w:tc>
      </w:tr>
      <w:tr w:rsidR="00270AF8" w14:paraId="5C70389E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5FE8ED77" w14:textId="77777777" w:rsidR="00270AF8" w:rsidRDefault="00270AF8" w:rsidP="00E72D63">
            <w:pPr>
              <w:pStyle w:val="TableText"/>
            </w:pPr>
            <w:r>
              <w:t>In case of brownfield, the existing information is modelled and checked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5EACF31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C1B3FED" w14:textId="77777777" w:rsidR="00270AF8" w:rsidRDefault="00270AF8" w:rsidP="00E72D63">
            <w:pPr>
              <w:pStyle w:val="TableText"/>
            </w:pPr>
          </w:p>
        </w:tc>
      </w:tr>
      <w:tr w:rsidR="00270AF8" w14:paraId="785C80AC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5838F737" w14:textId="77777777" w:rsidR="00270AF8" w:rsidRDefault="00270AF8" w:rsidP="00E72D63">
            <w:pPr>
              <w:pStyle w:val="TableText"/>
            </w:pPr>
            <w:r>
              <w:t>Construction access is checked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C70CF73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ED339C8" w14:textId="77777777" w:rsidR="00270AF8" w:rsidRDefault="00270AF8" w:rsidP="00E72D63">
            <w:pPr>
              <w:pStyle w:val="TableText"/>
            </w:pPr>
          </w:p>
        </w:tc>
      </w:tr>
      <w:tr w:rsidR="00270AF8" w14:paraId="48DCE1B1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FC15095" w14:textId="77777777" w:rsidR="00270AF8" w:rsidRDefault="00270AF8" w:rsidP="00E72D63">
            <w:pPr>
              <w:pStyle w:val="TableText"/>
            </w:pPr>
            <w:r>
              <w:t>Eye wash and safety shower locations modelled and checked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63D0E9E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F66767F" w14:textId="77777777" w:rsidR="00270AF8" w:rsidRDefault="00270AF8" w:rsidP="00E72D63">
            <w:pPr>
              <w:pStyle w:val="TableText"/>
            </w:pPr>
          </w:p>
        </w:tc>
      </w:tr>
      <w:tr w:rsidR="00270AF8" w14:paraId="04118421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5CCB315E" w14:textId="77777777" w:rsidR="00270AF8" w:rsidRDefault="00270AF8" w:rsidP="00E72D63">
            <w:pPr>
              <w:pStyle w:val="TableText"/>
            </w:pPr>
            <w:r>
              <w:t>The model is updated as per the vendor drawings when pre-purchase items have been specified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A31DCD4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5F1B09E" w14:textId="77777777" w:rsidR="00270AF8" w:rsidRDefault="00270AF8" w:rsidP="00E72D63">
            <w:pPr>
              <w:pStyle w:val="TableText"/>
            </w:pPr>
          </w:p>
        </w:tc>
      </w:tr>
      <w:tr w:rsidR="00270AF8" w14:paraId="2BC0E5F8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F069A97" w14:textId="77777777" w:rsidR="00270AF8" w:rsidRDefault="00270AF8" w:rsidP="00E72D63">
            <w:pPr>
              <w:pStyle w:val="TableText"/>
            </w:pPr>
            <w:r>
              <w:t>Dropout/laydown areas are modelled and checked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B6559F7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A391AAA" w14:textId="77777777" w:rsidR="00270AF8" w:rsidRDefault="00270AF8" w:rsidP="00E72D63">
            <w:pPr>
              <w:pStyle w:val="TableText"/>
            </w:pPr>
          </w:p>
        </w:tc>
      </w:tr>
      <w:tr w:rsidR="00270AF8" w14:paraId="6F419F04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2431863" w14:textId="77777777" w:rsidR="00270AF8" w:rsidRDefault="00270AF8" w:rsidP="00E72D63">
            <w:pPr>
              <w:pStyle w:val="TableText"/>
            </w:pPr>
            <w:r>
              <w:t>The crane/hoist hook limits have been considered when setting crane/monorail elevations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30B57C6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532F72E" w14:textId="77777777" w:rsidR="00270AF8" w:rsidRDefault="00270AF8" w:rsidP="00E72D63">
            <w:pPr>
              <w:pStyle w:val="TableText"/>
            </w:pPr>
          </w:p>
        </w:tc>
      </w:tr>
      <w:tr w:rsidR="00270AF8" w14:paraId="51BF8273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37E3E3C" w14:textId="77777777" w:rsidR="00270AF8" w:rsidRDefault="00270AF8" w:rsidP="00E72D63">
            <w:pPr>
              <w:pStyle w:val="TableText"/>
            </w:pPr>
            <w:r>
              <w:t>Adequate lay down areas are identified and located for use with cranes, gantries and monorails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D265F48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422450B" w14:textId="77777777" w:rsidR="00270AF8" w:rsidRDefault="00270AF8" w:rsidP="00E72D63">
            <w:pPr>
              <w:pStyle w:val="TableText"/>
            </w:pPr>
          </w:p>
        </w:tc>
      </w:tr>
      <w:tr w:rsidR="00270AF8" w14:paraId="0E1E2091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3AFC4C3F" w14:textId="77777777" w:rsidR="00270AF8" w:rsidRDefault="00270AF8" w:rsidP="00E72D63">
            <w:pPr>
              <w:pStyle w:val="TableText"/>
            </w:pPr>
            <w:r>
              <w:t>Personnel access paths are free from hazards posed by blow out panels, rupture discs and relief valve discharge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C05D7E3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73818DA" w14:textId="77777777" w:rsidR="00270AF8" w:rsidRDefault="00270AF8" w:rsidP="00E72D63">
            <w:pPr>
              <w:pStyle w:val="TableText"/>
            </w:pPr>
          </w:p>
        </w:tc>
      </w:tr>
      <w:tr w:rsidR="00270AF8" w14:paraId="787311D3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34D40516" w14:textId="77777777" w:rsidR="00270AF8" w:rsidRDefault="00270AF8" w:rsidP="00E72D63">
            <w:pPr>
              <w:pStyle w:val="TableText"/>
            </w:pPr>
            <w:r>
              <w:t xml:space="preserve">Proper space on platform is available for turning the </w:t>
            </w:r>
            <w:proofErr w:type="gramStart"/>
            <w:r>
              <w:t>man-way</w:t>
            </w:r>
            <w:proofErr w:type="gramEnd"/>
            <w:r>
              <w:t xml:space="preserve"> covers and entering the equipment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4D3EF7D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19767BA" w14:textId="77777777" w:rsidR="00270AF8" w:rsidRDefault="00270AF8" w:rsidP="00E72D63">
            <w:pPr>
              <w:pStyle w:val="TableText"/>
            </w:pPr>
          </w:p>
        </w:tc>
      </w:tr>
      <w:tr w:rsidR="00270AF8" w14:paraId="545A5790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717FC1E3" w14:textId="77777777" w:rsidR="00270AF8" w:rsidRDefault="00270AF8" w:rsidP="00E72D63">
            <w:pPr>
              <w:pStyle w:val="TableText"/>
            </w:pPr>
            <w:r>
              <w:lastRenderedPageBreak/>
              <w:t>All escape route paths are obstruction free and no walk way has above head or tripping hazards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D3E1395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182072E" w14:textId="77777777" w:rsidR="00270AF8" w:rsidRDefault="00270AF8" w:rsidP="00E72D63">
            <w:pPr>
              <w:pStyle w:val="TableText"/>
            </w:pPr>
          </w:p>
        </w:tc>
      </w:tr>
      <w:tr w:rsidR="00270AF8" w14:paraId="593F67D0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8DDFFB6" w14:textId="77777777" w:rsidR="00270AF8" w:rsidRDefault="00270AF8" w:rsidP="00E72D63">
            <w:pPr>
              <w:pStyle w:val="TableText"/>
            </w:pPr>
            <w:r>
              <w:t>All valves required for emergency operations are operable from grade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7A7BF22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95C6946" w14:textId="77777777" w:rsidR="00270AF8" w:rsidRDefault="00270AF8" w:rsidP="00E72D63">
            <w:pPr>
              <w:pStyle w:val="TableText"/>
            </w:pPr>
          </w:p>
        </w:tc>
      </w:tr>
      <w:tr w:rsidR="00270AF8" w14:paraId="19C2DA4C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707E780B" w14:textId="77777777" w:rsidR="00270AF8" w:rsidRDefault="00270AF8" w:rsidP="00E72D63">
            <w:pPr>
              <w:pStyle w:val="TableText"/>
            </w:pPr>
            <w:r>
              <w:t>The model is updated as per the vendor drawings when pre-purchase items have been specified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ED023E6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1FE0997" w14:textId="77777777" w:rsidR="00270AF8" w:rsidRDefault="00270AF8" w:rsidP="00E72D63">
            <w:pPr>
              <w:pStyle w:val="TableText"/>
            </w:pPr>
          </w:p>
        </w:tc>
      </w:tr>
      <w:tr w:rsidR="00270AF8" w14:paraId="33BE1503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633D536C" w14:textId="77777777" w:rsidR="00270AF8" w:rsidRDefault="00270AF8" w:rsidP="00E72D63">
            <w:pPr>
              <w:pStyle w:val="TableText"/>
            </w:pPr>
            <w:r>
              <w:t>Dropout/laydown areas are modelled and checked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2B650D1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747420F" w14:textId="77777777" w:rsidR="00270AF8" w:rsidRDefault="00270AF8" w:rsidP="00E72D63">
            <w:pPr>
              <w:pStyle w:val="TableText"/>
            </w:pPr>
          </w:p>
        </w:tc>
      </w:tr>
      <w:tr w:rsidR="00270AF8" w14:paraId="6EF82D99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1E38EC95" w14:textId="77777777" w:rsidR="00270AF8" w:rsidRDefault="00270AF8" w:rsidP="00E72D63">
            <w:pPr>
              <w:pStyle w:val="TableText"/>
            </w:pPr>
            <w:r>
              <w:t>The Crane/Hoist hook limits have been considered when setting crane/monorail elevations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8D8D777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1CEA0B7" w14:textId="77777777" w:rsidR="00270AF8" w:rsidRDefault="00270AF8" w:rsidP="00E72D63">
            <w:pPr>
              <w:pStyle w:val="TableText"/>
            </w:pPr>
          </w:p>
        </w:tc>
      </w:tr>
      <w:tr w:rsidR="00270AF8" w14:paraId="725EF7BF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1FA2B5D" w14:textId="77777777" w:rsidR="00270AF8" w:rsidRDefault="00270AF8" w:rsidP="00E72D63">
            <w:pPr>
              <w:pStyle w:val="TableText"/>
            </w:pPr>
            <w:r>
              <w:t>Adequate lay down areas are identified and located for use with cranes, gantries and monorails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55E6507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1569A02" w14:textId="77777777" w:rsidR="00270AF8" w:rsidRDefault="00270AF8" w:rsidP="00E72D63">
            <w:pPr>
              <w:pStyle w:val="TableText"/>
            </w:pPr>
          </w:p>
        </w:tc>
      </w:tr>
      <w:tr w:rsidR="00270AF8" w14:paraId="34A4EB9F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0533CFE" w14:textId="77777777" w:rsidR="00270AF8" w:rsidRDefault="00270AF8" w:rsidP="00E72D63">
            <w:pPr>
              <w:pStyle w:val="TableText"/>
            </w:pPr>
            <w:r>
              <w:t>Personnel access paths are free from hazards posed by blow out panels, rupture discs and relief valve discharge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457C326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5E671B4" w14:textId="77777777" w:rsidR="00270AF8" w:rsidRDefault="00270AF8" w:rsidP="00E72D63">
            <w:pPr>
              <w:pStyle w:val="TableText"/>
            </w:pPr>
          </w:p>
        </w:tc>
      </w:tr>
      <w:tr w:rsidR="00270AF8" w14:paraId="0D86FBF5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35EFF573" w14:textId="77777777" w:rsidR="00270AF8" w:rsidRDefault="00270AF8" w:rsidP="00E72D63">
            <w:pPr>
              <w:pStyle w:val="TableText"/>
            </w:pPr>
            <w:r>
              <w:t>Proper space on platform is available for turning the man-way covers and entering the equipment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1A80994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6845393" w14:textId="77777777" w:rsidR="00270AF8" w:rsidRDefault="00270AF8" w:rsidP="00E72D63">
            <w:pPr>
              <w:pStyle w:val="TableText"/>
            </w:pPr>
          </w:p>
        </w:tc>
      </w:tr>
      <w:tr w:rsidR="00270AF8" w14:paraId="379902CD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E7C9968" w14:textId="77777777" w:rsidR="00270AF8" w:rsidRDefault="00270AF8" w:rsidP="00E72D63">
            <w:pPr>
              <w:pStyle w:val="TableText"/>
            </w:pPr>
            <w:r>
              <w:t>All escape route paths are obstruction free and no walk way has above head or tripping hazards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D15F57C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E77738F" w14:textId="77777777" w:rsidR="00270AF8" w:rsidRDefault="00270AF8" w:rsidP="00E72D63">
            <w:pPr>
              <w:pStyle w:val="TableText"/>
            </w:pPr>
          </w:p>
        </w:tc>
      </w:tr>
      <w:tr w:rsidR="00270AF8" w14:paraId="22F60C93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40D41C0" w14:textId="77777777" w:rsidR="00270AF8" w:rsidRDefault="00270AF8" w:rsidP="00E72D63">
            <w:pPr>
              <w:pStyle w:val="TableText"/>
            </w:pPr>
            <w:r>
              <w:t>All valves required for emergency operations are operable from grade</w:t>
            </w: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BA01CF9" w14:textId="77777777" w:rsidR="00270AF8" w:rsidRDefault="00270AF8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884351B" w14:textId="77777777" w:rsidR="00270AF8" w:rsidRDefault="00270AF8" w:rsidP="00E72D63">
            <w:pPr>
              <w:pStyle w:val="TableText"/>
            </w:pPr>
          </w:p>
        </w:tc>
      </w:tr>
      <w:tr w:rsidR="00A00173" w14:paraId="5868DB64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4FCA505" w14:textId="77777777" w:rsidR="00A00173" w:rsidRDefault="00A00173" w:rsidP="00E72D63">
            <w:pPr>
              <w:pStyle w:val="TableText"/>
            </w:pP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B53ADDF" w14:textId="77777777" w:rsidR="00A00173" w:rsidRDefault="00A00173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44223EB" w14:textId="77777777" w:rsidR="00A00173" w:rsidRDefault="00A00173" w:rsidP="00E72D63">
            <w:pPr>
              <w:pStyle w:val="TableText"/>
            </w:pPr>
          </w:p>
        </w:tc>
      </w:tr>
      <w:tr w:rsidR="00A00173" w14:paraId="40FE3026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904DB3F" w14:textId="77777777" w:rsidR="00A00173" w:rsidRDefault="00A00173" w:rsidP="00E72D63">
            <w:pPr>
              <w:pStyle w:val="TableText"/>
            </w:pP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A5BDF0B" w14:textId="77777777" w:rsidR="00A00173" w:rsidRDefault="00A00173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1889D10" w14:textId="77777777" w:rsidR="00A00173" w:rsidRDefault="00A00173" w:rsidP="00E72D63">
            <w:pPr>
              <w:pStyle w:val="TableText"/>
            </w:pPr>
          </w:p>
        </w:tc>
      </w:tr>
      <w:tr w:rsidR="00A00173" w14:paraId="65F378FC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81B761F" w14:textId="77777777" w:rsidR="00A00173" w:rsidRDefault="00A00173" w:rsidP="00E72D63">
            <w:pPr>
              <w:pStyle w:val="TableText"/>
            </w:pPr>
          </w:p>
        </w:tc>
        <w:tc>
          <w:tcPr>
            <w:tcW w:w="672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08F38FC" w14:textId="77777777" w:rsidR="00A00173" w:rsidRDefault="00A00173" w:rsidP="00E72D63">
            <w:pPr>
              <w:pStyle w:val="TableText"/>
            </w:pPr>
          </w:p>
        </w:tc>
        <w:tc>
          <w:tcPr>
            <w:tcW w:w="192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189FE74" w14:textId="77777777" w:rsidR="00A00173" w:rsidRDefault="00A00173" w:rsidP="00E72D63">
            <w:pPr>
              <w:pStyle w:val="TableText"/>
            </w:pPr>
          </w:p>
        </w:tc>
      </w:tr>
    </w:tbl>
    <w:p w14:paraId="544D2CFB" w14:textId="77777777" w:rsidR="00270AF8" w:rsidRDefault="00270AF8" w:rsidP="00270AF8">
      <w:pPr>
        <w:rPr>
          <w:rFonts w:ascii="Calibri" w:hAnsi="Calibri" w:cs="Calibri"/>
          <w:sz w:val="20"/>
          <w:szCs w:val="20"/>
        </w:rPr>
      </w:pPr>
    </w:p>
    <w:tbl>
      <w:tblPr>
        <w:tblStyle w:val="TableGrid1"/>
        <w:tblW w:w="4996" w:type="pct"/>
        <w:tblInd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98"/>
        <w:gridCol w:w="1262"/>
        <w:gridCol w:w="3587"/>
      </w:tblGrid>
      <w:tr w:rsidR="00270AF8" w:rsidRPr="00E72D63" w14:paraId="7F70B150" w14:textId="77777777" w:rsidTr="00A00173">
        <w:trPr>
          <w:tblHeader/>
        </w:trPr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2FC38143" w14:textId="77777777" w:rsidR="00270AF8" w:rsidRPr="00E72D63" w:rsidRDefault="00270AF8" w:rsidP="00E72D63">
            <w:pPr>
              <w:pStyle w:val="TableHeading"/>
            </w:pPr>
            <w:bookmarkStart w:id="4" w:name="_Toc52486751"/>
            <w:r w:rsidRPr="00E72D63">
              <w:t>Layout</w:t>
            </w:r>
            <w:bookmarkEnd w:id="4"/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7A42A647" w14:textId="77777777" w:rsidR="00270AF8" w:rsidRPr="00E72D63" w:rsidRDefault="00270AF8" w:rsidP="00E72D63">
            <w:pPr>
              <w:pStyle w:val="TableHeading"/>
            </w:pPr>
            <w:r w:rsidRPr="00E72D63">
              <w:t>Complete</w:t>
            </w: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69F1E1CF" w14:textId="77777777" w:rsidR="00270AF8" w:rsidRPr="00E72D63" w:rsidRDefault="00270AF8" w:rsidP="00E72D63">
            <w:pPr>
              <w:pStyle w:val="TableHeading"/>
            </w:pPr>
            <w:r w:rsidRPr="00E72D63">
              <w:t>Comment</w:t>
            </w:r>
          </w:p>
        </w:tc>
      </w:tr>
      <w:tr w:rsidR="00270AF8" w14:paraId="27477997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14F5894" w14:textId="77777777" w:rsidR="00270AF8" w:rsidRDefault="00270AF8" w:rsidP="00E72D63">
            <w:pPr>
              <w:pStyle w:val="TableText"/>
            </w:pPr>
            <w:r>
              <w:t>Roads, main access ways are modelled and checked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C05EBD2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A34D120" w14:textId="77777777" w:rsidR="00270AF8" w:rsidRDefault="00270AF8" w:rsidP="00E72D63">
            <w:pPr>
              <w:pStyle w:val="TableText"/>
            </w:pPr>
          </w:p>
        </w:tc>
      </w:tr>
      <w:tr w:rsidR="00270AF8" w14:paraId="177C5438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7C105BD6" w14:textId="77777777" w:rsidR="00270AF8" w:rsidRDefault="00270AF8" w:rsidP="00E72D63">
            <w:pPr>
              <w:pStyle w:val="TableText"/>
            </w:pPr>
            <w:r>
              <w:t xml:space="preserve">Verify the dimensions of vehicles being used have been checked to ensure that proper </w:t>
            </w:r>
            <w:r>
              <w:lastRenderedPageBreak/>
              <w:t>vertical clearances, width, and turning radii have been considered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AA0139C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A1D0CAF" w14:textId="77777777" w:rsidR="00270AF8" w:rsidRDefault="00270AF8" w:rsidP="00E72D63">
            <w:pPr>
              <w:pStyle w:val="TableText"/>
            </w:pPr>
          </w:p>
        </w:tc>
      </w:tr>
      <w:tr w:rsidR="00270AF8" w14:paraId="09ED875F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17B79621" w14:textId="77777777" w:rsidR="00270AF8" w:rsidRDefault="00270AF8" w:rsidP="00E72D63">
            <w:pPr>
              <w:pStyle w:val="TableText"/>
            </w:pPr>
            <w:r>
              <w:t>Interdisciplinary model review has been conducted and all the comments are documented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90722C9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1CE7F12" w14:textId="77777777" w:rsidR="00270AF8" w:rsidRDefault="00270AF8" w:rsidP="00E72D63">
            <w:pPr>
              <w:pStyle w:val="TableText"/>
            </w:pPr>
          </w:p>
        </w:tc>
      </w:tr>
      <w:tr w:rsidR="00270AF8" w14:paraId="3E1224B7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786EF2F8" w14:textId="77777777" w:rsidR="00270AF8" w:rsidRDefault="00270AF8" w:rsidP="00E72D63">
            <w:pPr>
              <w:pStyle w:val="TableText"/>
            </w:pPr>
            <w:r>
              <w:t>Minimum spacing/distances between equipment/structures are checked.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36BFB6B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099244A" w14:textId="77777777" w:rsidR="00270AF8" w:rsidRDefault="00270AF8" w:rsidP="00E72D63">
            <w:pPr>
              <w:pStyle w:val="TableText"/>
            </w:pPr>
          </w:p>
        </w:tc>
      </w:tr>
      <w:tr w:rsidR="00270AF8" w14:paraId="6D7073C6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591767CE" w14:textId="77777777" w:rsidR="00270AF8" w:rsidRDefault="00270AF8" w:rsidP="00E72D63">
            <w:pPr>
              <w:pStyle w:val="TableText"/>
            </w:pPr>
            <w:r>
              <w:t>Space for future equipment and systems have been modelled and checked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1F6362E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D897594" w14:textId="77777777" w:rsidR="00270AF8" w:rsidRDefault="00270AF8" w:rsidP="00E72D63">
            <w:pPr>
              <w:pStyle w:val="TableText"/>
            </w:pPr>
          </w:p>
        </w:tc>
      </w:tr>
      <w:tr w:rsidR="00270AF8" w14:paraId="766051A8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E1657F0" w14:textId="77777777" w:rsidR="00270AF8" w:rsidRDefault="00270AF8" w:rsidP="00E72D63">
            <w:pPr>
              <w:pStyle w:val="TableText"/>
              <w:keepNext/>
            </w:pPr>
            <w:r>
              <w:t>The area for large filters, strainers etc. are located within curbed areas to contain the spillage during cartridge/element replacement operations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A383FF9" w14:textId="77777777" w:rsidR="00270AF8" w:rsidRDefault="00270AF8" w:rsidP="00E72D63">
            <w:pPr>
              <w:pStyle w:val="TableText"/>
              <w:keepNext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AFAE643" w14:textId="77777777" w:rsidR="00270AF8" w:rsidRDefault="00270AF8" w:rsidP="00E72D63">
            <w:pPr>
              <w:pStyle w:val="TableText"/>
              <w:keepNext/>
            </w:pPr>
          </w:p>
        </w:tc>
      </w:tr>
      <w:tr w:rsidR="00270AF8" w14:paraId="0314EA1D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68299882" w14:textId="77777777" w:rsidR="00270AF8" w:rsidRDefault="00270AF8" w:rsidP="00E72D63">
            <w:pPr>
              <w:pStyle w:val="TableText"/>
            </w:pPr>
            <w:r>
              <w:t>The bottom of monorails/ hoists/EOT/HOT hook elevation should not be lower than the usable openings of roll-up doors, forklift access aisles, etc.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ECCA472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BCD6E80" w14:textId="77777777" w:rsidR="00270AF8" w:rsidRDefault="00270AF8" w:rsidP="00E72D63">
            <w:pPr>
              <w:pStyle w:val="TableText"/>
            </w:pPr>
          </w:p>
        </w:tc>
      </w:tr>
      <w:tr w:rsidR="00270AF8" w14:paraId="3AFC4765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54660432" w14:textId="77777777" w:rsidR="00270AF8" w:rsidRDefault="00270AF8" w:rsidP="00E72D63">
            <w:pPr>
              <w:pStyle w:val="TableText"/>
            </w:pPr>
            <w:r>
              <w:t>The adequate clearance availability for the maintenance and removal of rotors/shafts/internals, etc. (including the installation of temporary rigging beams, hoists, chain falls, etc.) should be checked.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8BBCBB4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782AB8F" w14:textId="77777777" w:rsidR="00270AF8" w:rsidRDefault="00270AF8" w:rsidP="00E72D63">
            <w:pPr>
              <w:pStyle w:val="TableText"/>
            </w:pPr>
          </w:p>
        </w:tc>
      </w:tr>
      <w:tr w:rsidR="00270AF8" w14:paraId="2AC4BFBF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7B4BBB3D" w14:textId="77777777" w:rsidR="00270AF8" w:rsidRDefault="00270AF8" w:rsidP="00E72D63">
            <w:pPr>
              <w:pStyle w:val="TableText"/>
            </w:pPr>
            <w:r>
              <w:t>Requirements for equipment removal hatches and construction opening in floors, walls and roofs have been identified and shown and checked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35B134A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7FFC8BC" w14:textId="77777777" w:rsidR="00270AF8" w:rsidRDefault="00270AF8" w:rsidP="00E72D63">
            <w:pPr>
              <w:pStyle w:val="TableText"/>
            </w:pPr>
          </w:p>
        </w:tc>
      </w:tr>
      <w:tr w:rsidR="00270AF8" w14:paraId="6714E277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58FCC825" w14:textId="77777777" w:rsidR="00270AF8" w:rsidRDefault="00270AF8" w:rsidP="00E72D63">
            <w:pPr>
              <w:pStyle w:val="TableText"/>
            </w:pPr>
            <w:r>
              <w:t>Hand wheel/lever location/orientation to be checked for interference with operating access, platforms, structures etc.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4971166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2836DB7" w14:textId="77777777" w:rsidR="00270AF8" w:rsidRDefault="00270AF8" w:rsidP="00E72D63">
            <w:pPr>
              <w:pStyle w:val="TableText"/>
            </w:pPr>
          </w:p>
        </w:tc>
      </w:tr>
      <w:tr w:rsidR="00270AF8" w14:paraId="07DBF44B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740D908" w14:textId="77777777" w:rsidR="00270AF8" w:rsidRDefault="00270AF8" w:rsidP="00E72D63">
            <w:pPr>
              <w:pStyle w:val="TableText"/>
            </w:pPr>
            <w:r>
              <w:t>Review support strategy for systems and equipment, particularly when they may influence the coordination process of other disciplines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DD2CDA9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B28D0B8" w14:textId="77777777" w:rsidR="00270AF8" w:rsidRDefault="00270AF8" w:rsidP="00E72D63">
            <w:pPr>
              <w:pStyle w:val="TableText"/>
            </w:pPr>
          </w:p>
        </w:tc>
      </w:tr>
      <w:tr w:rsidR="00270AF8" w14:paraId="7C99C93D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1C37A5BC" w14:textId="77777777" w:rsidR="00270AF8" w:rsidRDefault="00270AF8" w:rsidP="00E72D63">
            <w:pPr>
              <w:pStyle w:val="TableText"/>
            </w:pPr>
            <w:r>
              <w:t>Roads, main access ways are modelled and checked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DDDD186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1BBCC4E" w14:textId="77777777" w:rsidR="00270AF8" w:rsidRDefault="00270AF8" w:rsidP="00E72D63">
            <w:pPr>
              <w:pStyle w:val="TableText"/>
            </w:pPr>
          </w:p>
        </w:tc>
      </w:tr>
      <w:tr w:rsidR="00270AF8" w14:paraId="3A57A0E8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32CA217F" w14:textId="77777777" w:rsidR="00270AF8" w:rsidRDefault="00270AF8" w:rsidP="00E72D63">
            <w:pPr>
              <w:pStyle w:val="TableText"/>
            </w:pPr>
            <w:r>
              <w:t>Verify the dimensions of vehicles being used have been checked to ensure that proper vertical clearances, width, and turning radii have been considered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F73D430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9A0011D" w14:textId="77777777" w:rsidR="00270AF8" w:rsidRDefault="00270AF8" w:rsidP="00E72D63">
            <w:pPr>
              <w:pStyle w:val="TableText"/>
            </w:pPr>
          </w:p>
        </w:tc>
      </w:tr>
      <w:tr w:rsidR="00270AF8" w14:paraId="2784D892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EC4C949" w14:textId="77777777" w:rsidR="00270AF8" w:rsidRDefault="00270AF8" w:rsidP="00E72D63">
            <w:pPr>
              <w:pStyle w:val="TableText"/>
            </w:pPr>
            <w:r>
              <w:lastRenderedPageBreak/>
              <w:t>Interdisciplinary model review has been conducted and all the comments are documented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E6AC9A9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1C757ED" w14:textId="77777777" w:rsidR="00270AF8" w:rsidRDefault="00270AF8" w:rsidP="00E72D63">
            <w:pPr>
              <w:pStyle w:val="TableText"/>
            </w:pPr>
          </w:p>
        </w:tc>
      </w:tr>
      <w:tr w:rsidR="00270AF8" w14:paraId="4AA0AB3B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E7518BB" w14:textId="77777777" w:rsidR="00270AF8" w:rsidRDefault="00270AF8" w:rsidP="00E72D63">
            <w:pPr>
              <w:pStyle w:val="TableText"/>
            </w:pPr>
            <w:r>
              <w:t>Minimum spacing/distances between equipment/structures are checked.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D42808B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B4A40B1" w14:textId="77777777" w:rsidR="00270AF8" w:rsidRDefault="00270AF8" w:rsidP="00E72D63">
            <w:pPr>
              <w:pStyle w:val="TableText"/>
            </w:pPr>
          </w:p>
        </w:tc>
      </w:tr>
      <w:tr w:rsidR="00270AF8" w14:paraId="79620AB2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10D5C39D" w14:textId="77777777" w:rsidR="00270AF8" w:rsidRDefault="00270AF8" w:rsidP="00E72D63">
            <w:pPr>
              <w:pStyle w:val="TableText"/>
            </w:pPr>
            <w:r>
              <w:t>Space for future equipment and systems have been modelled and checked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3BE14F4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E36DA50" w14:textId="77777777" w:rsidR="00270AF8" w:rsidRDefault="00270AF8" w:rsidP="00E72D63">
            <w:pPr>
              <w:pStyle w:val="TableText"/>
            </w:pPr>
          </w:p>
        </w:tc>
      </w:tr>
      <w:tr w:rsidR="00270AF8" w14:paraId="5EF388ED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141547C" w14:textId="77777777" w:rsidR="00270AF8" w:rsidRDefault="00270AF8" w:rsidP="00E72D63">
            <w:pPr>
              <w:pStyle w:val="TableText"/>
            </w:pPr>
            <w:r>
              <w:t>The area for large filters, strainers etc. are located within curbed areas to contain the spillage during cartridge/element replacement operations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25302C6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59E24B8" w14:textId="77777777" w:rsidR="00270AF8" w:rsidRDefault="00270AF8" w:rsidP="00E72D63">
            <w:pPr>
              <w:pStyle w:val="TableText"/>
            </w:pPr>
          </w:p>
        </w:tc>
      </w:tr>
      <w:tr w:rsidR="00270AF8" w14:paraId="40E77F7C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3FD8D406" w14:textId="77777777" w:rsidR="00270AF8" w:rsidRDefault="00270AF8" w:rsidP="00E72D63">
            <w:pPr>
              <w:pStyle w:val="TableText"/>
            </w:pPr>
            <w:r>
              <w:t>The bottom of monorails/ hoists/EOT/HOT hook elevation should not be lower than the usable openings of roll-up doors, forklift access aisles, etc.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C4AC18B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AEFE9C1" w14:textId="77777777" w:rsidR="00270AF8" w:rsidRDefault="00270AF8" w:rsidP="00E72D63">
            <w:pPr>
              <w:pStyle w:val="TableText"/>
            </w:pPr>
          </w:p>
        </w:tc>
      </w:tr>
      <w:tr w:rsidR="00270AF8" w14:paraId="09F14F02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C1280E1" w14:textId="77777777" w:rsidR="00270AF8" w:rsidRDefault="00270AF8" w:rsidP="00E72D63">
            <w:pPr>
              <w:pStyle w:val="TableText"/>
            </w:pPr>
            <w:r>
              <w:t>The adequate clearance availability for the maintenance and removal of rotors/shafts/internals, etc. (including the installation of temporary rigging beams, hoists, chain falls, etc.) should be checked.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CE7007F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50AC9ED" w14:textId="77777777" w:rsidR="00270AF8" w:rsidRDefault="00270AF8" w:rsidP="00E72D63">
            <w:pPr>
              <w:pStyle w:val="TableText"/>
            </w:pPr>
          </w:p>
        </w:tc>
      </w:tr>
      <w:tr w:rsidR="00270AF8" w14:paraId="5014DC7B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970C544" w14:textId="77777777" w:rsidR="00270AF8" w:rsidRDefault="00270AF8" w:rsidP="00E72D63">
            <w:pPr>
              <w:pStyle w:val="TableText"/>
            </w:pPr>
            <w:r>
              <w:t>Requirements for equipment removal hatches and construction opening in floors, walls and roofs have been identified and shown and checked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64C6465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BB45459" w14:textId="77777777" w:rsidR="00270AF8" w:rsidRDefault="00270AF8" w:rsidP="00E72D63">
            <w:pPr>
              <w:pStyle w:val="TableText"/>
            </w:pPr>
          </w:p>
        </w:tc>
      </w:tr>
      <w:tr w:rsidR="00270AF8" w14:paraId="028A0759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B5B4827" w14:textId="77777777" w:rsidR="00270AF8" w:rsidRDefault="00270AF8" w:rsidP="00E72D63">
            <w:pPr>
              <w:pStyle w:val="TableText"/>
            </w:pPr>
            <w:r>
              <w:t>Hand wheel/lever location/orientation to be checked for interference with operating access, platforms, structures etc.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7EBE879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0421771" w14:textId="77777777" w:rsidR="00270AF8" w:rsidRDefault="00270AF8" w:rsidP="00E72D63">
            <w:pPr>
              <w:pStyle w:val="TableText"/>
            </w:pPr>
          </w:p>
        </w:tc>
      </w:tr>
      <w:tr w:rsidR="00270AF8" w14:paraId="5C4051D2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44884C7" w14:textId="77777777" w:rsidR="00270AF8" w:rsidRDefault="00270AF8" w:rsidP="00E72D63">
            <w:pPr>
              <w:pStyle w:val="TableText"/>
            </w:pPr>
            <w:r>
              <w:t>Review support strategy for systems and equipment, particularly when they may influence the coordination process of other disciplines</w:t>
            </w: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D1A84EB" w14:textId="77777777" w:rsidR="00270AF8" w:rsidRDefault="00270AF8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D6A25FE" w14:textId="77777777" w:rsidR="00270AF8" w:rsidRDefault="00270AF8" w:rsidP="00E72D63">
            <w:pPr>
              <w:pStyle w:val="TableText"/>
            </w:pPr>
          </w:p>
        </w:tc>
      </w:tr>
      <w:tr w:rsidR="00A00173" w14:paraId="65C62518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6889BD8" w14:textId="77777777" w:rsidR="00A00173" w:rsidRDefault="00A00173" w:rsidP="00E72D63">
            <w:pPr>
              <w:pStyle w:val="TableText"/>
            </w:pP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1CF7818" w14:textId="77777777" w:rsidR="00A00173" w:rsidRDefault="00A00173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F3F2D9F" w14:textId="77777777" w:rsidR="00A00173" w:rsidRDefault="00A00173" w:rsidP="00E72D63">
            <w:pPr>
              <w:pStyle w:val="TableText"/>
            </w:pPr>
          </w:p>
        </w:tc>
      </w:tr>
      <w:tr w:rsidR="00A00173" w14:paraId="1F8F58CA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43C6FC2" w14:textId="77777777" w:rsidR="00A00173" w:rsidRDefault="00A00173" w:rsidP="00E72D63">
            <w:pPr>
              <w:pStyle w:val="TableText"/>
            </w:pP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D980B05" w14:textId="77777777" w:rsidR="00A00173" w:rsidRDefault="00A00173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CEB725D" w14:textId="77777777" w:rsidR="00A00173" w:rsidRDefault="00A00173" w:rsidP="00E72D63">
            <w:pPr>
              <w:pStyle w:val="TableText"/>
            </w:pPr>
          </w:p>
        </w:tc>
      </w:tr>
      <w:tr w:rsidR="00A00173" w14:paraId="7B11938B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0F06B8D" w14:textId="77777777" w:rsidR="00A00173" w:rsidRDefault="00A00173" w:rsidP="00E72D63">
            <w:pPr>
              <w:pStyle w:val="TableText"/>
            </w:pP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25AB918" w14:textId="77777777" w:rsidR="00A00173" w:rsidRDefault="00A00173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D7BA264" w14:textId="77777777" w:rsidR="00A00173" w:rsidRDefault="00A00173" w:rsidP="00E72D63">
            <w:pPr>
              <w:pStyle w:val="TableText"/>
            </w:pPr>
          </w:p>
        </w:tc>
      </w:tr>
      <w:tr w:rsidR="00A00173" w14:paraId="6580948C" w14:textId="77777777" w:rsidTr="00A00173">
        <w:tc>
          <w:tcPr>
            <w:tcW w:w="2406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687EFB7" w14:textId="77777777" w:rsidR="00A00173" w:rsidRDefault="00A00173" w:rsidP="00E72D63">
            <w:pPr>
              <w:pStyle w:val="TableText"/>
            </w:pPr>
          </w:p>
        </w:tc>
        <w:tc>
          <w:tcPr>
            <w:tcW w:w="675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8043471" w14:textId="77777777" w:rsidR="00A00173" w:rsidRDefault="00A00173" w:rsidP="00E72D63">
            <w:pPr>
              <w:pStyle w:val="TableText"/>
            </w:pPr>
          </w:p>
        </w:tc>
        <w:tc>
          <w:tcPr>
            <w:tcW w:w="1920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45CC1B9" w14:textId="77777777" w:rsidR="00A00173" w:rsidRDefault="00A00173" w:rsidP="00E72D63">
            <w:pPr>
              <w:pStyle w:val="TableText"/>
            </w:pPr>
          </w:p>
        </w:tc>
      </w:tr>
    </w:tbl>
    <w:p w14:paraId="2A8FC93F" w14:textId="77777777" w:rsidR="00270AF8" w:rsidRDefault="00270AF8" w:rsidP="00270AF8">
      <w:pPr>
        <w:rPr>
          <w:rFonts w:ascii="Calibri" w:hAnsi="Calibri" w:cs="Calibri"/>
          <w:sz w:val="20"/>
          <w:szCs w:val="20"/>
        </w:rPr>
      </w:pPr>
    </w:p>
    <w:tbl>
      <w:tblPr>
        <w:tblStyle w:val="TableGrid1"/>
        <w:tblW w:w="5000" w:type="pct"/>
        <w:tblInd w:w="0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98"/>
        <w:gridCol w:w="1270"/>
        <w:gridCol w:w="3586"/>
      </w:tblGrid>
      <w:tr w:rsidR="00270AF8" w14:paraId="41073274" w14:textId="77777777" w:rsidTr="00A00173">
        <w:trPr>
          <w:tblHeader/>
        </w:trPr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69283533" w14:textId="77777777" w:rsidR="00270AF8" w:rsidRDefault="00270AF8" w:rsidP="00E72D63">
            <w:pPr>
              <w:pStyle w:val="TableHeading"/>
              <w:rPr>
                <w:lang w:val="en-CA"/>
              </w:rPr>
            </w:pPr>
            <w:bookmarkStart w:id="5" w:name="_Toc52486752"/>
            <w:r>
              <w:rPr>
                <w:lang w:val="en-CA"/>
              </w:rPr>
              <w:lastRenderedPageBreak/>
              <w:t>Process</w:t>
            </w:r>
            <w:bookmarkEnd w:id="5"/>
            <w:r>
              <w:rPr>
                <w:lang w:val="en-CA"/>
              </w:rPr>
              <w:t xml:space="preserve"> </w:t>
            </w: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468DD206" w14:textId="77777777" w:rsidR="00270AF8" w:rsidRDefault="00270AF8" w:rsidP="00E72D63">
            <w:pPr>
              <w:pStyle w:val="TableHeading"/>
              <w:rPr>
                <w:rFonts w:eastAsiaTheme="minorEastAsia"/>
              </w:rPr>
            </w:pPr>
            <w:r>
              <w:rPr>
                <w:rFonts w:eastAsiaTheme="minorEastAsia"/>
              </w:rPr>
              <w:t>Complete</w:t>
            </w: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49BF0A9E" w14:textId="77777777" w:rsidR="00270AF8" w:rsidRDefault="00270AF8" w:rsidP="00E72D63">
            <w:pPr>
              <w:pStyle w:val="TableHeading"/>
              <w:rPr>
                <w:rFonts w:eastAsiaTheme="minorEastAsia"/>
              </w:rPr>
            </w:pPr>
            <w:r>
              <w:rPr>
                <w:rFonts w:eastAsiaTheme="minorEastAsia"/>
              </w:rPr>
              <w:t>Comment</w:t>
            </w:r>
          </w:p>
        </w:tc>
      </w:tr>
      <w:tr w:rsidR="00270AF8" w14:paraId="462BFEE3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C276AED" w14:textId="77777777" w:rsidR="00270AF8" w:rsidRDefault="00270AF8" w:rsidP="00E72D63">
            <w:pPr>
              <w:pStyle w:val="TableText"/>
            </w:pPr>
            <w:r>
              <w:t>All process equipment is modelled and checked as per P&amp;IDs.</w:t>
            </w: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F3DD752" w14:textId="77777777" w:rsidR="00270AF8" w:rsidRDefault="00270AF8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27A3ABC" w14:textId="77777777" w:rsidR="00270AF8" w:rsidRDefault="00270AF8" w:rsidP="00E72D63">
            <w:pPr>
              <w:pStyle w:val="TableText"/>
            </w:pPr>
          </w:p>
        </w:tc>
      </w:tr>
      <w:tr w:rsidR="00270AF8" w14:paraId="4C2E94EC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0DE13F9" w14:textId="77777777" w:rsidR="00270AF8" w:rsidRDefault="00270AF8" w:rsidP="00E72D63">
            <w:pPr>
              <w:pStyle w:val="TableText"/>
            </w:pPr>
            <w:r>
              <w:t>Major large bore and critical process piping determining the equipment location are modelled and checked</w:t>
            </w: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2B0F234" w14:textId="77777777" w:rsidR="00270AF8" w:rsidRDefault="00270AF8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94877F3" w14:textId="77777777" w:rsidR="00270AF8" w:rsidRDefault="00270AF8" w:rsidP="00E72D63">
            <w:pPr>
              <w:pStyle w:val="TableText"/>
            </w:pPr>
          </w:p>
        </w:tc>
      </w:tr>
      <w:tr w:rsidR="00270AF8" w14:paraId="478826D1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321404F1" w14:textId="77777777" w:rsidR="00270AF8" w:rsidRDefault="00270AF8" w:rsidP="00E72D63">
            <w:pPr>
              <w:pStyle w:val="TableText"/>
            </w:pPr>
            <w:r>
              <w:t>Major underground piping systems including pressurized and gravity lines are modelled and checked</w:t>
            </w: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50E57E9" w14:textId="77777777" w:rsidR="00270AF8" w:rsidRDefault="00270AF8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24F4EA0" w14:textId="77777777" w:rsidR="00270AF8" w:rsidRDefault="00270AF8" w:rsidP="00E72D63">
            <w:pPr>
              <w:pStyle w:val="TableText"/>
            </w:pPr>
          </w:p>
        </w:tc>
      </w:tr>
      <w:tr w:rsidR="00270AF8" w14:paraId="1B5D9CDB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D45FFD5" w14:textId="77777777" w:rsidR="00270AF8" w:rsidRDefault="00270AF8" w:rsidP="00E72D63">
            <w:pPr>
              <w:pStyle w:val="TableText"/>
            </w:pPr>
            <w:r>
              <w:t>All tags for equipment, valves, specialty items checked as per P&amp;IDs with required PAIDS Tag</w:t>
            </w: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1747B67" w14:textId="77777777" w:rsidR="00270AF8" w:rsidRDefault="00270AF8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CAEDCE9" w14:textId="77777777" w:rsidR="00270AF8" w:rsidRDefault="00270AF8" w:rsidP="00E72D63">
            <w:pPr>
              <w:pStyle w:val="TableText"/>
            </w:pPr>
          </w:p>
        </w:tc>
      </w:tr>
      <w:tr w:rsidR="00270AF8" w14:paraId="4EB9BD20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71573899" w14:textId="77777777" w:rsidR="00270AF8" w:rsidRDefault="00270AF8" w:rsidP="00E72D63">
            <w:pPr>
              <w:pStyle w:val="TableText"/>
            </w:pPr>
            <w:r>
              <w:t>All line numbers, line size, pipe class &amp; flow direction are checked as per P&amp;IDs.</w:t>
            </w: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A234AE1" w14:textId="77777777" w:rsidR="00270AF8" w:rsidRDefault="00270AF8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6FC78F8" w14:textId="77777777" w:rsidR="00270AF8" w:rsidRDefault="00270AF8" w:rsidP="00E72D63">
            <w:pPr>
              <w:pStyle w:val="TableText"/>
            </w:pPr>
          </w:p>
        </w:tc>
      </w:tr>
      <w:tr w:rsidR="00270AF8" w14:paraId="6FE716B0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699585B" w14:textId="77777777" w:rsidR="00270AF8" w:rsidRDefault="00270AF8" w:rsidP="00E72D63">
            <w:pPr>
              <w:pStyle w:val="TableText"/>
            </w:pPr>
            <w:r>
              <w:t>The special requirements such as slope, no pocket, removable spool etc. are designed as per P&amp;ID notes</w:t>
            </w: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3DF6BD6" w14:textId="77777777" w:rsidR="00270AF8" w:rsidRDefault="00270AF8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D389CE0" w14:textId="77777777" w:rsidR="00270AF8" w:rsidRDefault="00270AF8" w:rsidP="00E72D63">
            <w:pPr>
              <w:pStyle w:val="TableText"/>
            </w:pPr>
          </w:p>
        </w:tc>
      </w:tr>
      <w:tr w:rsidR="00270AF8" w14:paraId="6095E9E8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F5E4B90" w14:textId="77777777" w:rsidR="00270AF8" w:rsidRDefault="00270AF8" w:rsidP="00E72D63">
            <w:pPr>
              <w:pStyle w:val="TableText"/>
            </w:pPr>
            <w:r>
              <w:t>Space allocated for hose bibs and hose racks and utility stations</w:t>
            </w: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F857CE6" w14:textId="77777777" w:rsidR="00270AF8" w:rsidRDefault="00270AF8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F155621" w14:textId="77777777" w:rsidR="00270AF8" w:rsidRDefault="00270AF8" w:rsidP="00E72D63">
            <w:pPr>
              <w:pStyle w:val="TableText"/>
            </w:pPr>
          </w:p>
        </w:tc>
      </w:tr>
      <w:tr w:rsidR="00A00173" w14:paraId="5E2727AE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580852B" w14:textId="77777777" w:rsidR="00A00173" w:rsidRDefault="00A00173" w:rsidP="00E72D63">
            <w:pPr>
              <w:pStyle w:val="TableText"/>
            </w:pP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E81824F" w14:textId="77777777" w:rsidR="00A00173" w:rsidRDefault="00A00173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970F9AC" w14:textId="77777777" w:rsidR="00A00173" w:rsidRDefault="00A00173" w:rsidP="00E72D63">
            <w:pPr>
              <w:pStyle w:val="TableText"/>
            </w:pPr>
          </w:p>
        </w:tc>
      </w:tr>
      <w:tr w:rsidR="00A00173" w14:paraId="6D3A085F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B9F39DD" w14:textId="77777777" w:rsidR="00A00173" w:rsidRDefault="00A00173" w:rsidP="00E72D63">
            <w:pPr>
              <w:pStyle w:val="TableText"/>
            </w:pP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67BAEED" w14:textId="77777777" w:rsidR="00A00173" w:rsidRDefault="00A00173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1F27332" w14:textId="77777777" w:rsidR="00A00173" w:rsidRDefault="00A00173" w:rsidP="00E72D63">
            <w:pPr>
              <w:pStyle w:val="TableText"/>
            </w:pPr>
          </w:p>
        </w:tc>
      </w:tr>
      <w:tr w:rsidR="00A00173" w14:paraId="5C4808B6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622F414" w14:textId="77777777" w:rsidR="00A00173" w:rsidRDefault="00A00173" w:rsidP="00E72D63">
            <w:pPr>
              <w:pStyle w:val="TableText"/>
            </w:pPr>
          </w:p>
        </w:tc>
        <w:tc>
          <w:tcPr>
            <w:tcW w:w="679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5FA7730" w14:textId="77777777" w:rsidR="00A00173" w:rsidRDefault="00A00173" w:rsidP="00E72D63">
            <w:pPr>
              <w:pStyle w:val="TableText"/>
            </w:pPr>
          </w:p>
        </w:tc>
        <w:tc>
          <w:tcPr>
            <w:tcW w:w="1917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4BB30B2" w14:textId="77777777" w:rsidR="00A00173" w:rsidRDefault="00A00173" w:rsidP="00E72D63">
            <w:pPr>
              <w:pStyle w:val="TableText"/>
            </w:pPr>
          </w:p>
        </w:tc>
      </w:tr>
    </w:tbl>
    <w:p w14:paraId="723B52C7" w14:textId="77777777" w:rsidR="00270AF8" w:rsidRDefault="00270AF8" w:rsidP="00270AF8">
      <w:pPr>
        <w:rPr>
          <w:rFonts w:cstheme="minorHAnsi"/>
          <w:sz w:val="20"/>
          <w:szCs w:val="20"/>
        </w:rPr>
      </w:pPr>
    </w:p>
    <w:tbl>
      <w:tblPr>
        <w:tblStyle w:val="TableGrid1"/>
        <w:tblW w:w="5000" w:type="pct"/>
        <w:tblInd w:w="0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97"/>
        <w:gridCol w:w="1259"/>
        <w:gridCol w:w="3598"/>
      </w:tblGrid>
      <w:tr w:rsidR="00270AF8" w14:paraId="6DADD22A" w14:textId="77777777" w:rsidTr="00A00173">
        <w:trPr>
          <w:tblHeader/>
        </w:trPr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68E392E7" w14:textId="77777777" w:rsidR="00270AF8" w:rsidRDefault="00270AF8" w:rsidP="00E72D63">
            <w:pPr>
              <w:pStyle w:val="TableHeading"/>
            </w:pPr>
            <w:bookmarkStart w:id="6" w:name="_Toc52486753"/>
            <w:r>
              <w:t>Electrical – I&amp;C</w:t>
            </w:r>
            <w:bookmarkEnd w:id="6"/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7D87966F" w14:textId="77777777" w:rsidR="00270AF8" w:rsidRDefault="00270AF8" w:rsidP="00E72D63">
            <w:pPr>
              <w:pStyle w:val="TableHeading"/>
              <w:rPr>
                <w:rFonts w:eastAsiaTheme="minorEastAsia"/>
              </w:rPr>
            </w:pPr>
            <w:r>
              <w:rPr>
                <w:rFonts w:eastAsiaTheme="minorEastAsia"/>
              </w:rPr>
              <w:t>Complete</w:t>
            </w: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55A31D74" w14:textId="77777777" w:rsidR="00270AF8" w:rsidRDefault="00270AF8" w:rsidP="00E72D63">
            <w:pPr>
              <w:pStyle w:val="TableHeading"/>
              <w:rPr>
                <w:rFonts w:eastAsiaTheme="minorEastAsia"/>
              </w:rPr>
            </w:pPr>
            <w:r>
              <w:rPr>
                <w:rFonts w:eastAsiaTheme="minorEastAsia"/>
              </w:rPr>
              <w:t>Comment</w:t>
            </w:r>
          </w:p>
        </w:tc>
      </w:tr>
      <w:tr w:rsidR="00270AF8" w14:paraId="2574017E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0648C18" w14:textId="77777777" w:rsidR="00270AF8" w:rsidRDefault="00270AF8" w:rsidP="00E72D63">
            <w:pPr>
              <w:pStyle w:val="TableText"/>
            </w:pPr>
            <w:r>
              <w:t>Electrical equipment checked as per SLD and or P&amp;ID’s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C5F51DA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FD40FEF" w14:textId="77777777" w:rsidR="00270AF8" w:rsidRDefault="00270AF8" w:rsidP="00E72D63">
            <w:pPr>
              <w:pStyle w:val="TableText"/>
            </w:pPr>
          </w:p>
        </w:tc>
      </w:tr>
      <w:tr w:rsidR="00270AF8" w14:paraId="2A1679B1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6E6A050E" w14:textId="77777777" w:rsidR="00270AF8" w:rsidRDefault="00270AF8" w:rsidP="00E72D63">
            <w:pPr>
              <w:pStyle w:val="TableText"/>
            </w:pPr>
            <w:r>
              <w:t>Cable tray, Conduit, Cable runs checked for minimum bend radius is accommodated in layout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450D275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BA6D3C1" w14:textId="77777777" w:rsidR="00270AF8" w:rsidRDefault="00270AF8" w:rsidP="00E72D63">
            <w:pPr>
              <w:pStyle w:val="TableText"/>
            </w:pPr>
          </w:p>
        </w:tc>
      </w:tr>
      <w:tr w:rsidR="00270AF8" w14:paraId="61C872A1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3B474854" w14:textId="77777777" w:rsidR="00270AF8" w:rsidRDefault="00270AF8" w:rsidP="00E72D63">
            <w:pPr>
              <w:pStyle w:val="TableText"/>
            </w:pPr>
            <w:r>
              <w:t xml:space="preserve">Coordinate Electrical light fixtures and ceiling devices with other services 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8AE8DDE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B853ED7" w14:textId="77777777" w:rsidR="00270AF8" w:rsidRDefault="00270AF8" w:rsidP="00E72D63">
            <w:pPr>
              <w:pStyle w:val="TableText"/>
            </w:pPr>
          </w:p>
        </w:tc>
      </w:tr>
      <w:tr w:rsidR="00270AF8" w14:paraId="6C97C382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61E270FD" w14:textId="77777777" w:rsidR="00270AF8" w:rsidRDefault="00270AF8" w:rsidP="00E72D63">
            <w:pPr>
              <w:pStyle w:val="TableText"/>
            </w:pPr>
            <w:r>
              <w:t>Check Electrical and Instrumentation Control panel layout and required clearances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7158655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FCF3E5A" w14:textId="77777777" w:rsidR="00270AF8" w:rsidRDefault="00270AF8" w:rsidP="00E72D63">
            <w:pPr>
              <w:pStyle w:val="TableText"/>
            </w:pPr>
          </w:p>
        </w:tc>
      </w:tr>
      <w:tr w:rsidR="00270AF8" w14:paraId="69D17C4C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153430A4" w14:textId="77777777" w:rsidR="00270AF8" w:rsidRDefault="00270AF8" w:rsidP="00E72D63">
            <w:pPr>
              <w:pStyle w:val="TableText"/>
            </w:pPr>
            <w:r>
              <w:t>Instrumentation equipment and transmitters checked as per P&amp;IDs with required PAIDS Tag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E3AB1F6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CC9EE8C" w14:textId="77777777" w:rsidR="00270AF8" w:rsidRDefault="00270AF8" w:rsidP="00E72D63">
            <w:pPr>
              <w:pStyle w:val="TableText"/>
            </w:pPr>
          </w:p>
        </w:tc>
      </w:tr>
      <w:tr w:rsidR="00270AF8" w14:paraId="58598E50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49A712A" w14:textId="77777777" w:rsidR="00270AF8" w:rsidRDefault="00270AF8" w:rsidP="00E72D63">
            <w:pPr>
              <w:pStyle w:val="TableText"/>
            </w:pPr>
            <w:r>
              <w:t>The electrical main cable trays are properly shown and checked.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3F40DE8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4C65938" w14:textId="77777777" w:rsidR="00270AF8" w:rsidRDefault="00270AF8" w:rsidP="00E72D63">
            <w:pPr>
              <w:pStyle w:val="TableText"/>
            </w:pPr>
          </w:p>
        </w:tc>
      </w:tr>
      <w:tr w:rsidR="00270AF8" w14:paraId="0236B217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7EB56C26" w14:textId="77777777" w:rsidR="00270AF8" w:rsidRDefault="00270AF8" w:rsidP="00E72D63">
            <w:pPr>
              <w:pStyle w:val="TableText"/>
            </w:pPr>
            <w:r>
              <w:t>Underground electrical/instrumentation cable trenches etc. are properly shown and checked.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102ECE3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8467657" w14:textId="77777777" w:rsidR="00270AF8" w:rsidRDefault="00270AF8" w:rsidP="00E72D63">
            <w:pPr>
              <w:pStyle w:val="TableText"/>
            </w:pPr>
          </w:p>
        </w:tc>
      </w:tr>
      <w:tr w:rsidR="00270AF8" w14:paraId="42C2C069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75ABE9A" w14:textId="77777777" w:rsidR="00270AF8" w:rsidRDefault="00270AF8" w:rsidP="00E72D63">
            <w:pPr>
              <w:pStyle w:val="TableText"/>
            </w:pPr>
            <w:r>
              <w:lastRenderedPageBreak/>
              <w:t>Underground electrical conduits are properly shown and checked (esp. where crossing is expected).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F4ECDCC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D39F041" w14:textId="77777777" w:rsidR="00270AF8" w:rsidRDefault="00270AF8" w:rsidP="00E72D63">
            <w:pPr>
              <w:pStyle w:val="TableText"/>
            </w:pPr>
          </w:p>
        </w:tc>
      </w:tr>
      <w:tr w:rsidR="00270AF8" w14:paraId="1909BBB8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445C4AF8" w14:textId="77777777" w:rsidR="00270AF8" w:rsidRDefault="00270AF8" w:rsidP="00E72D63">
            <w:pPr>
              <w:pStyle w:val="TableText"/>
            </w:pPr>
            <w:r>
              <w:t>Reserved space for Arc flash exhaust ducts are shown as required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3B4E93B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E644DCE" w14:textId="77777777" w:rsidR="00270AF8" w:rsidRDefault="00270AF8" w:rsidP="00E72D63">
            <w:pPr>
              <w:pStyle w:val="TableText"/>
            </w:pPr>
          </w:p>
        </w:tc>
      </w:tr>
      <w:tr w:rsidR="00A00173" w14:paraId="401A5011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E79553D" w14:textId="77777777" w:rsidR="00A00173" w:rsidRDefault="00A00173" w:rsidP="00E72D63">
            <w:pPr>
              <w:pStyle w:val="TableText"/>
            </w:pP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FC7E718" w14:textId="77777777" w:rsidR="00A00173" w:rsidRDefault="00A00173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2F946B4" w14:textId="77777777" w:rsidR="00A00173" w:rsidRDefault="00A00173" w:rsidP="00E72D63">
            <w:pPr>
              <w:pStyle w:val="TableText"/>
            </w:pPr>
          </w:p>
        </w:tc>
      </w:tr>
      <w:tr w:rsidR="00A00173" w14:paraId="54D87B05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348DFED" w14:textId="77777777" w:rsidR="00A00173" w:rsidRDefault="00A00173" w:rsidP="00E72D63">
            <w:pPr>
              <w:pStyle w:val="TableText"/>
            </w:pP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DC36C1A" w14:textId="77777777" w:rsidR="00A00173" w:rsidRDefault="00A00173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D16F597" w14:textId="77777777" w:rsidR="00A00173" w:rsidRDefault="00A00173" w:rsidP="00E72D63">
            <w:pPr>
              <w:pStyle w:val="TableText"/>
            </w:pPr>
          </w:p>
        </w:tc>
      </w:tr>
      <w:tr w:rsidR="00A00173" w14:paraId="55512CB3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26E56B3" w14:textId="77777777" w:rsidR="00A00173" w:rsidRDefault="00A00173" w:rsidP="00E72D63">
            <w:pPr>
              <w:pStyle w:val="TableText"/>
            </w:pP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E00D6A3" w14:textId="77777777" w:rsidR="00A00173" w:rsidRDefault="00A00173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136FB3E" w14:textId="77777777" w:rsidR="00A00173" w:rsidRDefault="00A00173" w:rsidP="00E72D63">
            <w:pPr>
              <w:pStyle w:val="TableText"/>
            </w:pPr>
          </w:p>
        </w:tc>
      </w:tr>
    </w:tbl>
    <w:p w14:paraId="25733A44" w14:textId="77777777" w:rsidR="00270AF8" w:rsidRDefault="00270AF8" w:rsidP="00270AF8">
      <w:pPr>
        <w:rPr>
          <w:rFonts w:ascii="Calibri" w:hAnsi="Calibri" w:cs="Calibri"/>
          <w:sz w:val="20"/>
          <w:szCs w:val="20"/>
        </w:rPr>
      </w:pPr>
    </w:p>
    <w:tbl>
      <w:tblPr>
        <w:tblStyle w:val="TableGrid1"/>
        <w:tblW w:w="5000" w:type="pct"/>
        <w:tblInd w:w="0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97"/>
        <w:gridCol w:w="1259"/>
        <w:gridCol w:w="3598"/>
      </w:tblGrid>
      <w:tr w:rsidR="00270AF8" w14:paraId="468E5AFF" w14:textId="77777777" w:rsidTr="00A00173">
        <w:trPr>
          <w:tblHeader/>
        </w:trPr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508F13ED" w14:textId="77777777" w:rsidR="00270AF8" w:rsidRDefault="00270AF8" w:rsidP="00E72D63">
            <w:pPr>
              <w:pStyle w:val="TableHeading"/>
            </w:pPr>
            <w:bookmarkStart w:id="7" w:name="_Toc52486754"/>
            <w:r>
              <w:t>Architectural - Structural</w:t>
            </w:r>
            <w:bookmarkEnd w:id="7"/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1BFC410B" w14:textId="77777777" w:rsidR="00270AF8" w:rsidRDefault="00270AF8" w:rsidP="00E72D63">
            <w:pPr>
              <w:pStyle w:val="TableHeading"/>
              <w:rPr>
                <w:rFonts w:eastAsiaTheme="minorEastAsia"/>
              </w:rPr>
            </w:pPr>
            <w:r>
              <w:rPr>
                <w:rFonts w:eastAsiaTheme="minorEastAsia"/>
              </w:rPr>
              <w:t>Complete</w:t>
            </w: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0066B3"/>
            <w:hideMark/>
          </w:tcPr>
          <w:p w14:paraId="37580396" w14:textId="77777777" w:rsidR="00270AF8" w:rsidRDefault="00270AF8" w:rsidP="00E72D63">
            <w:pPr>
              <w:pStyle w:val="TableHeading"/>
              <w:rPr>
                <w:rFonts w:eastAsiaTheme="minorEastAsia"/>
              </w:rPr>
            </w:pPr>
            <w:r>
              <w:rPr>
                <w:rFonts w:eastAsiaTheme="minorEastAsia"/>
              </w:rPr>
              <w:t>Comment</w:t>
            </w:r>
          </w:p>
        </w:tc>
      </w:tr>
      <w:tr w:rsidR="00270AF8" w14:paraId="6FF1BBA6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5E45C9BE" w14:textId="77777777" w:rsidR="00270AF8" w:rsidRDefault="00270AF8" w:rsidP="00E72D63">
            <w:pPr>
              <w:pStyle w:val="TableText"/>
            </w:pPr>
            <w:r>
              <w:t>Engineered equipment supports modelled to design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6596773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1EE2700F" w14:textId="77777777" w:rsidR="00270AF8" w:rsidRDefault="00270AF8" w:rsidP="00E72D63">
            <w:pPr>
              <w:pStyle w:val="TableText"/>
            </w:pPr>
          </w:p>
        </w:tc>
      </w:tr>
      <w:tr w:rsidR="00270AF8" w14:paraId="549D4D1B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7B8C518" w14:textId="77777777" w:rsidR="00270AF8" w:rsidRDefault="00270AF8" w:rsidP="00E72D63">
            <w:pPr>
              <w:pStyle w:val="TableText"/>
            </w:pPr>
            <w:r>
              <w:t>Engineered openings have been provided and systems have been coordinated to combine where possible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66DF1DF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2E4F524" w14:textId="77777777" w:rsidR="00270AF8" w:rsidRDefault="00270AF8" w:rsidP="00E72D63">
            <w:pPr>
              <w:pStyle w:val="TableText"/>
            </w:pPr>
          </w:p>
        </w:tc>
      </w:tr>
      <w:tr w:rsidR="00270AF8" w14:paraId="062D6BC7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31A3D55C" w14:textId="77777777" w:rsidR="00270AF8" w:rsidRDefault="00270AF8" w:rsidP="00E72D63">
            <w:pPr>
              <w:pStyle w:val="TableText"/>
            </w:pPr>
            <w:r>
              <w:t>Check all access platforms, stair runs, ladder lengths, railings for easy of operations and maintenance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53CE803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C9DA0C5" w14:textId="77777777" w:rsidR="00270AF8" w:rsidRDefault="00270AF8" w:rsidP="00E72D63">
            <w:pPr>
              <w:pStyle w:val="TableText"/>
            </w:pPr>
          </w:p>
        </w:tc>
      </w:tr>
      <w:tr w:rsidR="00270AF8" w14:paraId="121FBFEE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178C6C57" w14:textId="77777777" w:rsidR="00270AF8" w:rsidRDefault="00270AF8" w:rsidP="00E72D63">
            <w:pPr>
              <w:pStyle w:val="TableText"/>
            </w:pPr>
            <w:r>
              <w:t xml:space="preserve">Coordinate openings and penetrations to ensure main structural components are not compromised 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124FE2E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337E383" w14:textId="77777777" w:rsidR="00270AF8" w:rsidRDefault="00270AF8" w:rsidP="00E72D63">
            <w:pPr>
              <w:pStyle w:val="TableText"/>
            </w:pPr>
          </w:p>
        </w:tc>
      </w:tr>
      <w:tr w:rsidR="00270AF8" w14:paraId="240C208F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6712DA4C" w14:textId="77777777" w:rsidR="00270AF8" w:rsidRDefault="00270AF8" w:rsidP="00E72D63">
            <w:pPr>
              <w:pStyle w:val="TableText"/>
            </w:pPr>
            <w:r>
              <w:t>Verify Door swing and access paths are not impeded by equipment, systems or services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94D7614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BB7C4F8" w14:textId="77777777" w:rsidR="00270AF8" w:rsidRDefault="00270AF8" w:rsidP="00E72D63">
            <w:pPr>
              <w:pStyle w:val="TableText"/>
            </w:pPr>
          </w:p>
        </w:tc>
      </w:tr>
      <w:tr w:rsidR="00270AF8" w14:paraId="4228B514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0049C5DA" w14:textId="77777777" w:rsidR="00270AF8" w:rsidRDefault="00270AF8" w:rsidP="00E72D63">
            <w:pPr>
              <w:pStyle w:val="TableText"/>
            </w:pPr>
            <w:r>
              <w:t>Check below grade service connections to ensure footings are not affected by penetrations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937DCA4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F184C01" w14:textId="77777777" w:rsidR="00270AF8" w:rsidRDefault="00270AF8" w:rsidP="00E72D63">
            <w:pPr>
              <w:pStyle w:val="TableText"/>
            </w:pPr>
          </w:p>
        </w:tc>
      </w:tr>
      <w:tr w:rsidR="00270AF8" w14:paraId="136C0FA9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hideMark/>
          </w:tcPr>
          <w:p w14:paraId="2EB79DA1" w14:textId="77777777" w:rsidR="00270AF8" w:rsidRDefault="00270AF8" w:rsidP="00E72D63">
            <w:pPr>
              <w:pStyle w:val="TableText"/>
            </w:pPr>
            <w:r>
              <w:t>Check all engineered supports for Process, Bldg. Mechanical and Electrical conveyance systems have been modelled for coordination</w:t>
            </w: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526E967" w14:textId="77777777" w:rsidR="00270AF8" w:rsidRDefault="00270AF8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0D4EBEF" w14:textId="77777777" w:rsidR="00270AF8" w:rsidRDefault="00270AF8" w:rsidP="00E72D63">
            <w:pPr>
              <w:pStyle w:val="TableText"/>
            </w:pPr>
          </w:p>
        </w:tc>
        <w:bookmarkEnd w:id="2"/>
      </w:tr>
      <w:tr w:rsidR="00A00173" w14:paraId="6963B07F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3B246609" w14:textId="77777777" w:rsidR="00A00173" w:rsidRDefault="00A00173" w:rsidP="00E72D63">
            <w:pPr>
              <w:pStyle w:val="TableText"/>
            </w:pP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E6B3052" w14:textId="77777777" w:rsidR="00A00173" w:rsidRDefault="00A00173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7129BDCF" w14:textId="77777777" w:rsidR="00A00173" w:rsidRDefault="00A00173" w:rsidP="00E72D63">
            <w:pPr>
              <w:pStyle w:val="TableText"/>
            </w:pPr>
          </w:p>
        </w:tc>
      </w:tr>
      <w:tr w:rsidR="00A00173" w14:paraId="253AEEDC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2B250053" w14:textId="77777777" w:rsidR="00A00173" w:rsidRDefault="00A00173" w:rsidP="00E72D63">
            <w:pPr>
              <w:pStyle w:val="TableText"/>
            </w:pP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458A371C" w14:textId="77777777" w:rsidR="00A00173" w:rsidRDefault="00A00173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62710789" w14:textId="77777777" w:rsidR="00A00173" w:rsidRDefault="00A00173" w:rsidP="00E72D63">
            <w:pPr>
              <w:pStyle w:val="TableText"/>
            </w:pPr>
          </w:p>
        </w:tc>
      </w:tr>
      <w:tr w:rsidR="00A00173" w14:paraId="2CA014E4" w14:textId="77777777" w:rsidTr="00A00173">
        <w:tc>
          <w:tcPr>
            <w:tcW w:w="2404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2FB7B22" w14:textId="77777777" w:rsidR="00A00173" w:rsidRDefault="00A00173" w:rsidP="00E72D63">
            <w:pPr>
              <w:pStyle w:val="TableText"/>
            </w:pPr>
          </w:p>
        </w:tc>
        <w:tc>
          <w:tcPr>
            <w:tcW w:w="67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04AF68A0" w14:textId="77777777" w:rsidR="00A00173" w:rsidRDefault="00A00173" w:rsidP="00E72D63">
            <w:pPr>
              <w:pStyle w:val="TableText"/>
            </w:pPr>
          </w:p>
        </w:tc>
        <w:tc>
          <w:tcPr>
            <w:tcW w:w="1923" w:type="pct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14:paraId="584D681D" w14:textId="77777777" w:rsidR="00A00173" w:rsidRDefault="00A00173" w:rsidP="00E72D63">
            <w:pPr>
              <w:pStyle w:val="TableText"/>
            </w:pPr>
          </w:p>
        </w:tc>
      </w:tr>
    </w:tbl>
    <w:p w14:paraId="7FEEE601" w14:textId="77777777" w:rsidR="00401C8B" w:rsidRDefault="00401C8B" w:rsidP="00787BFD">
      <w:pPr>
        <w:sectPr w:rsidR="00401C8B" w:rsidSect="00A00173"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bookmarkStart w:id="8" w:name="_GoBack"/>
    <w:bookmarkEnd w:id="8"/>
    <w:p w14:paraId="0AFAA7E8" w14:textId="77777777" w:rsidR="00554D80" w:rsidRPr="00554D80" w:rsidRDefault="00E72CA0" w:rsidP="00787BF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581B9C" wp14:editId="6C28040A">
                <wp:simplePos x="0" y="0"/>
                <wp:positionH relativeFrom="column">
                  <wp:posOffset>554355</wp:posOffset>
                </wp:positionH>
                <wp:positionV relativeFrom="paragraph">
                  <wp:posOffset>6864985</wp:posOffset>
                </wp:positionV>
                <wp:extent cx="4832985" cy="22796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2985" cy="227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DC3079" w14:textId="77777777" w:rsidR="008A2299" w:rsidRDefault="008A2299" w:rsidP="0016544A">
                            <w:pPr>
                              <w:pStyle w:val="TitlePageText"/>
                              <w:jc w:val="center"/>
                            </w:pPr>
                            <w:r>
                              <w:t>10 Peel Centre Drive</w:t>
                            </w:r>
                            <w:r>
                              <w:br/>
                              <w:t>Brampton, ON L6T 4B9</w:t>
                            </w:r>
                          </w:p>
                          <w:p w14:paraId="3F3C74CA" w14:textId="77777777" w:rsidR="008A2299" w:rsidRPr="00BF387B" w:rsidRDefault="008A2299" w:rsidP="00E72CA0">
                            <w:pPr>
                              <w:pStyle w:val="TitlePageText"/>
                              <w:spacing w:before="240"/>
                              <w:jc w:val="center"/>
                            </w:pPr>
                            <w:r>
                              <w:t>Phone: 905-791-7800</w:t>
                            </w:r>
                            <w:r>
                              <w:br/>
                              <w:t xml:space="preserve">Email: </w:t>
                            </w:r>
                            <w:hyperlink r:id="rId10" w:history="1">
                              <w:r w:rsidRPr="00EE44D2">
                                <w:rPr>
                                  <w:rStyle w:val="Hyperlink"/>
                                  <w:rFonts w:ascii="Avenir Next LT Pro" w:hAnsi="Avenir Next LT Pro"/>
                                  <w:sz w:val="28"/>
                                </w:rPr>
                                <w:t>info@peelregion.ca</w:t>
                              </w:r>
                            </w:hyperlink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581B9C" id="Text Box 15" o:spid="_x0000_s1031" type="#_x0000_t202" style="position:absolute;margin-left:43.65pt;margin-top:540.55pt;width:380.55pt;height:179.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" filled="f" stroked="f" strokeweight=".5pt">
                <v:textbox>
                  <w:txbxContent>
                    <w:p w14:paraId="69DC3079" w14:textId="77777777" w:rsidR="008A2299" w:rsidRDefault="008A2299" w:rsidP="0016544A">
                      <w:pPr>
                        <w:pStyle w:val="TitlePageText"/>
                        <w:jc w:val="center"/>
                      </w:pPr>
                      <w:r>
                        <w:t>10 Peel Centre Drive</w:t>
                      </w:r>
                      <w:r>
                        <w:br/>
                        <w:t>Brampton, ON L6T 4B9</w:t>
                      </w:r>
                    </w:p>
                    <w:p w14:paraId="3F3C74CA" w14:textId="77777777" w:rsidR="008A2299" w:rsidRPr="00BF387B" w:rsidRDefault="008A2299" w:rsidP="00E72CA0">
                      <w:pPr>
                        <w:pStyle w:val="TitlePageText"/>
                        <w:spacing w:before="240"/>
                        <w:jc w:val="center"/>
                      </w:pPr>
                      <w:r>
                        <w:t>Phone: 905-791-7800</w:t>
                      </w:r>
                      <w:r>
                        <w:br/>
                        <w:t xml:space="preserve">Email: </w:t>
                      </w:r>
                      <w:hyperlink r:id="rId97" w:history="1">
                        <w:r w:rsidRPr="00EE44D2">
                          <w:rPr>
                            <w:rStyle w:val="Hyperlink"/>
                            <w:rFonts w:ascii="Avenir Next LT Pro" w:hAnsi="Avenir Next LT Pro"/>
                            <w:sz w:val="28"/>
                          </w:rPr>
                          <w:t>info@peelregion.ca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2FE1B4" wp14:editId="05F289CA">
            <wp:simplePos x="0" y="0"/>
            <wp:positionH relativeFrom="column">
              <wp:posOffset>2187575</wp:posOffset>
            </wp:positionH>
            <wp:positionV relativeFrom="paragraph">
              <wp:posOffset>5777230</wp:posOffset>
            </wp:positionV>
            <wp:extent cx="1579880" cy="844550"/>
            <wp:effectExtent l="0" t="0" r="0" b="6350"/>
            <wp:wrapNone/>
            <wp:docPr id="5" name="Picture 5" descr="Region of Pe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Region of Peel logo"/>
                    <pic:cNvPicPr/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4D80" w:rsidRPr="00554D80" w:rsidSect="00CB7D09">
      <w:headerReference w:type="default" r:id="rId99"/>
      <w:pgSz w:w="12240" w:h="15840"/>
      <w:pgMar w:top="1440" w:right="1440" w:bottom="1440" w:left="1440" w:header="144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8917D" w14:textId="77777777" w:rsidR="008A2299" w:rsidRDefault="008A2299" w:rsidP="001E7FBC">
      <w:pPr>
        <w:spacing w:before="0" w:after="0" w:line="240" w:lineRule="auto"/>
      </w:pPr>
      <w:r>
        <w:separator/>
      </w:r>
    </w:p>
  </w:endnote>
  <w:endnote w:type="continuationSeparator" w:id="0">
    <w:p w14:paraId="393AFA64" w14:textId="77777777" w:rsidR="008A2299" w:rsidRDefault="008A2299" w:rsidP="001E7FB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acobs Chronos">
    <w:panose1 w:val="020B0603030503030204"/>
    <w:charset w:val="00"/>
    <w:family w:val="swiss"/>
    <w:pitch w:val="variable"/>
    <w:sig w:usb0="A00000EF" w:usb1="0000E0EB" w:usb2="00000008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C526C" w14:textId="70BF4E83" w:rsidR="008A2299" w:rsidRDefault="00A00173" w:rsidP="00CB7D09">
    <w:pPr>
      <w:pStyle w:val="Footer"/>
    </w:pPr>
    <w:fldSimple w:instr=" FILENAME   \* MERGEFORMAT ">
      <w:r>
        <w:rPr>
          <w:noProof/>
        </w:rPr>
        <w:t>Region Vertical CADD Standards-V1.3 3D Design Review Checklist.docx</w:t>
      </w:r>
    </w:fldSimple>
  </w:p>
  <w:p w14:paraId="7633F4B8" w14:textId="3F5552EA" w:rsidR="00A00173" w:rsidRPr="00CB7D09" w:rsidRDefault="00A00173" w:rsidP="00CB7D09">
    <w:pPr>
      <w:pStyle w:val="Footer"/>
    </w:pPr>
    <w:r>
      <w:t>2020-11-18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CECA3" w14:textId="77777777" w:rsidR="008A2299" w:rsidRDefault="008A2299" w:rsidP="001E7FBC">
      <w:pPr>
        <w:spacing w:before="0" w:after="0" w:line="240" w:lineRule="auto"/>
      </w:pPr>
      <w:r>
        <w:separator/>
      </w:r>
    </w:p>
  </w:footnote>
  <w:footnote w:type="continuationSeparator" w:id="0">
    <w:p w14:paraId="2307865C" w14:textId="77777777" w:rsidR="008A2299" w:rsidRDefault="008A2299" w:rsidP="001E7FB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880" w:type="dxa"/>
      <w:tblInd w:w="-1265" w:type="dxa"/>
      <w:shd w:val="clear" w:color="auto" w:fill="0066B3"/>
      <w:tblLook w:val="04A0" w:firstRow="1" w:lastRow="0" w:firstColumn="1" w:lastColumn="0" w:noHBand="0" w:noVBand="1"/>
    </w:tblPr>
    <w:tblGrid>
      <w:gridCol w:w="6120"/>
      <w:gridCol w:w="5760"/>
    </w:tblGrid>
    <w:tr w:rsidR="008A2299" w14:paraId="2F2C58DE" w14:textId="77777777" w:rsidTr="008A2299">
      <w:trPr>
        <w:trHeight w:val="893"/>
      </w:trPr>
      <w:tc>
        <w:tcPr>
          <w:tcW w:w="6120" w:type="dxa"/>
          <w:tcBorders>
            <w:top w:val="single" w:sz="4" w:space="0" w:color="0066B3"/>
            <w:left w:val="single" w:sz="4" w:space="0" w:color="0066B3"/>
            <w:bottom w:val="single" w:sz="4" w:space="0" w:color="0066B3"/>
            <w:right w:val="single" w:sz="4" w:space="0" w:color="0066B3"/>
          </w:tcBorders>
          <w:shd w:val="clear" w:color="auto" w:fill="0066B3"/>
          <w:vAlign w:val="center"/>
        </w:tcPr>
        <w:p w14:paraId="6F12D69E" w14:textId="77777777" w:rsidR="008A2299" w:rsidRPr="002D01A2" w:rsidRDefault="008A2299" w:rsidP="00CB7D09">
          <w:pPr>
            <w:pStyle w:val="Header"/>
            <w:ind w:left="1245" w:right="886"/>
          </w:pPr>
          <w:r>
            <w:rPr>
              <w:noProof/>
            </w:rPr>
            <w:drawing>
              <wp:inline distT="0" distB="0" distL="0" distR="0" wp14:anchorId="5950FAFA" wp14:editId="12B91BC5">
                <wp:extent cx="1087755" cy="232100"/>
                <wp:effectExtent l="0" t="0" r="4445" b="0"/>
                <wp:docPr id="79" name="Picture 79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A picture containing text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676" cy="2480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alias w:val="Title"/>
          <w:tag w:val=""/>
          <w:id w:val="497705746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5760" w:type="dxa"/>
              <w:tcBorders>
                <w:top w:val="single" w:sz="4" w:space="0" w:color="0066B3"/>
                <w:left w:val="single" w:sz="4" w:space="0" w:color="0066B3"/>
                <w:bottom w:val="single" w:sz="4" w:space="0" w:color="0066B3"/>
                <w:right w:val="single" w:sz="4" w:space="0" w:color="0066B3"/>
              </w:tcBorders>
              <w:shd w:val="clear" w:color="auto" w:fill="0066B3"/>
              <w:vAlign w:val="center"/>
            </w:tcPr>
            <w:p w14:paraId="40C05FEA" w14:textId="7799EED2" w:rsidR="008A2299" w:rsidRPr="002D01A2" w:rsidRDefault="005A06D0" w:rsidP="00CB7D09">
              <w:pPr>
                <w:pStyle w:val="Header"/>
                <w:ind w:right="886"/>
                <w:jc w:val="right"/>
              </w:pPr>
              <w:r>
                <w:t>Vertical CADD Standards Version 1.3 November 2020</w:t>
              </w:r>
            </w:p>
          </w:tc>
        </w:sdtContent>
      </w:sdt>
    </w:tr>
  </w:tbl>
  <w:p w14:paraId="535A13B7" w14:textId="77777777" w:rsidR="008A2299" w:rsidRDefault="008A22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88DA4" w14:textId="77777777" w:rsidR="008A2299" w:rsidRDefault="008A22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0FAF5D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47E06EA"/>
    <w:multiLevelType w:val="hybridMultilevel"/>
    <w:tmpl w:val="E3FA8B44"/>
    <w:lvl w:ilvl="0" w:tplc="405A2B38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0EF"/>
    <w:multiLevelType w:val="singleLevel"/>
    <w:tmpl w:val="D982E5F6"/>
    <w:lvl w:ilvl="0">
      <w:start w:val="1"/>
      <w:numFmt w:val="bullet"/>
      <w:pStyle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616B9"/>
    <w:multiLevelType w:val="hybridMultilevel"/>
    <w:tmpl w:val="5FBC2AC0"/>
    <w:lvl w:ilvl="0" w:tplc="AD5062A8">
      <w:start w:val="1"/>
      <w:numFmt w:val="bullet"/>
      <w:pStyle w:val="TableHead"/>
      <w:lvlText w:val=""/>
      <w:lvlJc w:val="left"/>
      <w:pPr>
        <w:tabs>
          <w:tab w:val="num" w:pos="9180"/>
        </w:tabs>
        <w:ind w:left="954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14220"/>
        </w:tabs>
        <w:ind w:left="14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14940"/>
        </w:tabs>
        <w:ind w:left="14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15660"/>
        </w:tabs>
        <w:ind w:left="15660" w:hanging="360"/>
      </w:pPr>
      <w:rPr>
        <w:rFonts w:ascii="Wingdings" w:hAnsi="Wingdings" w:hint="default"/>
      </w:rPr>
    </w:lvl>
  </w:abstractNum>
  <w:abstractNum w:abstractNumId="4" w15:restartNumberingAfterBreak="0">
    <w:nsid w:val="2413212C"/>
    <w:multiLevelType w:val="multilevel"/>
    <w:tmpl w:val="1D8E554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95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8E1E67"/>
    <w:multiLevelType w:val="hybridMultilevel"/>
    <w:tmpl w:val="FE826BDE"/>
    <w:lvl w:ilvl="0" w:tplc="1B609380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9CD8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B09612B6">
      <w:start w:val="1"/>
      <w:numFmt w:val="bullet"/>
      <w:pStyle w:val="Bullet2"/>
      <w:lvlText w:val="-"/>
      <w:lvlJc w:val="left"/>
      <w:pPr>
        <w:ind w:left="2160" w:hanging="360"/>
      </w:pPr>
      <w:rPr>
        <w:rFonts w:ascii="Calibri" w:hAnsi="Calibri" w:hint="default"/>
        <w:b/>
        <w:i w:val="0"/>
        <w:sz w:val="28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117A1"/>
    <w:multiLevelType w:val="multilevel"/>
    <w:tmpl w:val="70DE84EE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" w:hanging="8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" w:hanging="8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" w:hanging="8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" w:hanging="8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" w:hanging="864"/>
      </w:pPr>
      <w:rPr>
        <w:rFonts w:hint="default"/>
      </w:rPr>
    </w:lvl>
  </w:abstractNum>
  <w:abstractNum w:abstractNumId="7" w15:restartNumberingAfterBreak="0">
    <w:nsid w:val="32022DB3"/>
    <w:multiLevelType w:val="hybridMultilevel"/>
    <w:tmpl w:val="3D02F0B8"/>
    <w:lvl w:ilvl="0" w:tplc="74289346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0066B3"/>
        <w:sz w:val="20"/>
        <w:szCs w:val="20"/>
        <w:u w:color="0066B3"/>
      </w:rPr>
    </w:lvl>
    <w:lvl w:ilvl="1" w:tplc="6E9CD8E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2" w:tplc="8A74FDC8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  <w:b/>
        <w:i w:val="0"/>
        <w:sz w:val="28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AB07F9"/>
    <w:multiLevelType w:val="hybridMultilevel"/>
    <w:tmpl w:val="F2543B06"/>
    <w:lvl w:ilvl="0" w:tplc="EF96F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3CBFE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b/>
        <w:i w:val="0"/>
        <w:sz w:val="20"/>
      </w:rPr>
    </w:lvl>
    <w:lvl w:ilvl="2" w:tplc="8A74FDC8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  <w:b/>
        <w:i w:val="0"/>
        <w:sz w:val="28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506D7"/>
    <w:multiLevelType w:val="hybridMultilevel"/>
    <w:tmpl w:val="EB944F84"/>
    <w:lvl w:ilvl="0" w:tplc="0A84EC32">
      <w:start w:val="1"/>
      <w:numFmt w:val="decimal"/>
      <w:pStyle w:val="Numb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340003"/>
    <w:multiLevelType w:val="hybridMultilevel"/>
    <w:tmpl w:val="12DA93B6"/>
    <w:lvl w:ilvl="0" w:tplc="3F503A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CD0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C0EE9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844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EA4E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0847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5839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1857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2841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624BF"/>
    <w:multiLevelType w:val="hybridMultilevel"/>
    <w:tmpl w:val="1D9C5EA8"/>
    <w:lvl w:ilvl="0" w:tplc="83ACF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25831"/>
    <w:multiLevelType w:val="hybridMultilevel"/>
    <w:tmpl w:val="1CD0DF2C"/>
    <w:lvl w:ilvl="0" w:tplc="61AEB4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sz w:val="24"/>
        <w:u w:color="0066B3"/>
      </w:rPr>
    </w:lvl>
    <w:lvl w:ilvl="1" w:tplc="6E9CD8E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2" w:tplc="8A74FDC8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  <w:b/>
        <w:i w:val="0"/>
        <w:sz w:val="28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111585"/>
    <w:multiLevelType w:val="hybridMultilevel"/>
    <w:tmpl w:val="896EBDD2"/>
    <w:lvl w:ilvl="0" w:tplc="038419FE">
      <w:start w:val="1"/>
      <w:numFmt w:val="decimal"/>
      <w:pStyle w:val="Numbullet1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3D2F70"/>
    <w:multiLevelType w:val="hybridMultilevel"/>
    <w:tmpl w:val="A9D855BA"/>
    <w:lvl w:ilvl="0" w:tplc="6F4AFCCA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80FF1"/>
    <w:multiLevelType w:val="hybridMultilevel"/>
    <w:tmpl w:val="6FD2258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A7EEF0FE">
      <w:numFmt w:val="bullet"/>
      <w:pStyle w:val="BulletDbl"/>
      <w:lvlText w:val="-"/>
      <w:lvlJc w:val="left"/>
      <w:pPr>
        <w:ind w:left="1488" w:hanging="360"/>
      </w:pPr>
      <w:rPr>
        <w:rFonts w:ascii="Book Antiqua" w:eastAsia="Times New Roman" w:hAnsi="Book Antiqua" w:cs="Times New Roman" w:hint="default"/>
      </w:rPr>
    </w:lvl>
    <w:lvl w:ilvl="2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489425BA"/>
    <w:multiLevelType w:val="hybridMultilevel"/>
    <w:tmpl w:val="D958C086"/>
    <w:lvl w:ilvl="0" w:tplc="73F286F4">
      <w:start w:val="1"/>
      <w:numFmt w:val="bullet"/>
      <w:lvlText w:val=""/>
      <w:lvlJc w:val="left"/>
      <w:pPr>
        <w:ind w:left="144" w:hanging="14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C824B8"/>
    <w:multiLevelType w:val="hybridMultilevel"/>
    <w:tmpl w:val="AAE822DE"/>
    <w:lvl w:ilvl="0" w:tplc="F21469E4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752C7B0E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F22D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F13103"/>
    <w:multiLevelType w:val="hybridMultilevel"/>
    <w:tmpl w:val="19E03044"/>
    <w:lvl w:ilvl="0" w:tplc="EF96F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3C0DA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8A74FDC8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  <w:b/>
        <w:i w:val="0"/>
        <w:sz w:val="28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30D07"/>
    <w:multiLevelType w:val="multilevel"/>
    <w:tmpl w:val="7B48D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B863804"/>
    <w:multiLevelType w:val="hybridMultilevel"/>
    <w:tmpl w:val="32AA28A8"/>
    <w:lvl w:ilvl="0" w:tplc="440034E4">
      <w:start w:val="1"/>
      <w:numFmt w:val="lowerLetter"/>
      <w:pStyle w:val="Numbullet2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C327A"/>
    <w:multiLevelType w:val="hybridMultilevel"/>
    <w:tmpl w:val="D62A9EA2"/>
    <w:lvl w:ilvl="0" w:tplc="85C8E83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D269D"/>
    <w:multiLevelType w:val="singleLevel"/>
    <w:tmpl w:val="BA1C46C8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2"/>
  </w:num>
  <w:num w:numId="2">
    <w:abstractNumId w:val="14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1"/>
  </w:num>
  <w:num w:numId="8">
    <w:abstractNumId w:val="5"/>
  </w:num>
  <w:num w:numId="9">
    <w:abstractNumId w:val="17"/>
  </w:num>
  <w:num w:numId="10">
    <w:abstractNumId w:val="18"/>
  </w:num>
  <w:num w:numId="11">
    <w:abstractNumId w:val="6"/>
  </w:num>
  <w:num w:numId="12">
    <w:abstractNumId w:val="12"/>
  </w:num>
  <w:num w:numId="13">
    <w:abstractNumId w:val="7"/>
  </w:num>
  <w:num w:numId="14">
    <w:abstractNumId w:val="19"/>
  </w:num>
  <w:num w:numId="15">
    <w:abstractNumId w:val="8"/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17"/>
    <w:lvlOverride w:ilvl="0">
      <w:startOverride w:val="1"/>
    </w:lvlOverride>
  </w:num>
  <w:num w:numId="20">
    <w:abstractNumId w:val="17"/>
    <w:lvlOverride w:ilvl="0">
      <w:startOverride w:val="1"/>
    </w:lvlOverride>
  </w:num>
  <w:num w:numId="21">
    <w:abstractNumId w:val="13"/>
  </w:num>
  <w:num w:numId="22">
    <w:abstractNumId w:val="21"/>
  </w:num>
  <w:num w:numId="23">
    <w:abstractNumId w:val="13"/>
    <w:lvlOverride w:ilvl="0">
      <w:startOverride w:val="1"/>
    </w:lvlOverride>
  </w:num>
  <w:num w:numId="24">
    <w:abstractNumId w:val="21"/>
    <w:lvlOverride w:ilvl="0">
      <w:startOverride w:val="1"/>
    </w:lvlOverride>
  </w:num>
  <w:num w:numId="25">
    <w:abstractNumId w:val="0"/>
  </w:num>
  <w:num w:numId="26">
    <w:abstractNumId w:val="2"/>
  </w:num>
  <w:num w:numId="27">
    <w:abstractNumId w:val="15"/>
  </w:num>
  <w:num w:numId="28">
    <w:abstractNumId w:val="23"/>
  </w:num>
  <w:num w:numId="29">
    <w:abstractNumId w:val="3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9"/>
  </w:num>
  <w:num w:numId="34">
    <w:abstractNumId w:val="13"/>
    <w:lvlOverride w:ilvl="0">
      <w:startOverride w:val="1"/>
    </w:lvlOverride>
  </w:num>
  <w:num w:numId="35">
    <w:abstractNumId w:val="2"/>
  </w:num>
  <w:num w:numId="36">
    <w:abstractNumId w:val="3"/>
  </w:num>
  <w:num w:numId="37">
    <w:abstractNumId w:val="10"/>
  </w:num>
  <w:num w:numId="38">
    <w:abstractNumId w:val="15"/>
  </w:num>
  <w:num w:numId="39">
    <w:abstractNumId w:val="16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4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06B"/>
    <w:rsid w:val="000670FF"/>
    <w:rsid w:val="000D13B6"/>
    <w:rsid w:val="000F7067"/>
    <w:rsid w:val="00112DE9"/>
    <w:rsid w:val="0016544A"/>
    <w:rsid w:val="00191E50"/>
    <w:rsid w:val="001E7FBC"/>
    <w:rsid w:val="00245476"/>
    <w:rsid w:val="00270AF8"/>
    <w:rsid w:val="002E5B19"/>
    <w:rsid w:val="002E6E8A"/>
    <w:rsid w:val="00307C87"/>
    <w:rsid w:val="00333117"/>
    <w:rsid w:val="00401C8B"/>
    <w:rsid w:val="00426690"/>
    <w:rsid w:val="004512BB"/>
    <w:rsid w:val="00462D3C"/>
    <w:rsid w:val="004B4578"/>
    <w:rsid w:val="00554D80"/>
    <w:rsid w:val="00567D00"/>
    <w:rsid w:val="005A06D0"/>
    <w:rsid w:val="006473DF"/>
    <w:rsid w:val="00717D67"/>
    <w:rsid w:val="0075206B"/>
    <w:rsid w:val="007566C5"/>
    <w:rsid w:val="00784BB5"/>
    <w:rsid w:val="00787BFD"/>
    <w:rsid w:val="007C3F0B"/>
    <w:rsid w:val="00801647"/>
    <w:rsid w:val="008019B4"/>
    <w:rsid w:val="00850344"/>
    <w:rsid w:val="00854C74"/>
    <w:rsid w:val="008A1054"/>
    <w:rsid w:val="008A2299"/>
    <w:rsid w:val="0090437F"/>
    <w:rsid w:val="00954BE9"/>
    <w:rsid w:val="00A00173"/>
    <w:rsid w:val="00A02579"/>
    <w:rsid w:val="00A12DC6"/>
    <w:rsid w:val="00A95A6F"/>
    <w:rsid w:val="00B227A3"/>
    <w:rsid w:val="00B55784"/>
    <w:rsid w:val="00B64DBB"/>
    <w:rsid w:val="00B93FED"/>
    <w:rsid w:val="00BA151D"/>
    <w:rsid w:val="00BD0C47"/>
    <w:rsid w:val="00BE16EE"/>
    <w:rsid w:val="00C247BF"/>
    <w:rsid w:val="00C2538D"/>
    <w:rsid w:val="00C42C3C"/>
    <w:rsid w:val="00C91965"/>
    <w:rsid w:val="00CB7D09"/>
    <w:rsid w:val="00CC5ADD"/>
    <w:rsid w:val="00D468D5"/>
    <w:rsid w:val="00DD4456"/>
    <w:rsid w:val="00E542C4"/>
    <w:rsid w:val="00E72CA0"/>
    <w:rsid w:val="00E72D63"/>
    <w:rsid w:val="00EB117D"/>
    <w:rsid w:val="00F37552"/>
    <w:rsid w:val="00F72EEE"/>
    <w:rsid w:val="00FC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56763A0"/>
  <w15:chartTrackingRefBased/>
  <w15:docId w15:val="{A93C7AC9-CA93-DB42-929C-C6326F88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8D5"/>
    <w:pPr>
      <w:spacing w:before="120" w:after="120" w:line="288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99"/>
    <w:pPr>
      <w:keepNext/>
      <w:keepLines/>
      <w:numPr>
        <w:numId w:val="5"/>
      </w:numPr>
      <w:spacing w:before="360" w:line="240" w:lineRule="auto"/>
      <w:ind w:left="900" w:hanging="900"/>
      <w:outlineLvl w:val="0"/>
    </w:pPr>
    <w:rPr>
      <w:rFonts w:ascii="Avenir Next LT Pro" w:eastAsiaTheme="majorEastAsia" w:hAnsi="Avenir Next LT Pro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2299"/>
    <w:pPr>
      <w:keepNext/>
      <w:keepLines/>
      <w:numPr>
        <w:ilvl w:val="1"/>
        <w:numId w:val="5"/>
      </w:numPr>
      <w:spacing w:before="240" w:line="240" w:lineRule="auto"/>
      <w:ind w:left="900" w:hanging="900"/>
      <w:outlineLvl w:val="1"/>
    </w:pPr>
    <w:rPr>
      <w:rFonts w:ascii="Avenir Next LT Pro" w:hAnsi="Avenir Next LT Pro"/>
      <w:color w:val="404040" w:themeColor="text1" w:themeTint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2579"/>
    <w:pPr>
      <w:keepNext/>
      <w:keepLines/>
      <w:numPr>
        <w:ilvl w:val="2"/>
        <w:numId w:val="5"/>
      </w:numPr>
      <w:spacing w:before="240"/>
      <w:ind w:left="1260" w:hanging="1260"/>
      <w:outlineLvl w:val="2"/>
    </w:pPr>
    <w:rPr>
      <w:rFonts w:ascii="Avenir Next LT Pro" w:eastAsiaTheme="majorEastAsia" w:hAnsi="Avenir Next LT Pro" w:cstheme="majorBidi"/>
      <w:b/>
      <w:color w:val="0066B3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6E8A"/>
    <w:pPr>
      <w:keepNext/>
      <w:keepLines/>
      <w:numPr>
        <w:ilvl w:val="3"/>
        <w:numId w:val="5"/>
      </w:numPr>
      <w:ind w:left="1440" w:hanging="1440"/>
      <w:outlineLvl w:val="3"/>
    </w:pPr>
    <w:rPr>
      <w:rFonts w:ascii="Avenir Next LT Pro" w:eastAsiaTheme="majorEastAsia" w:hAnsi="Avenir Next LT Pro" w:cstheme="majorBidi"/>
      <w:b/>
      <w:iCs/>
      <w:color w:val="595959" w:themeColor="text1" w:themeTint="A6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375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4C8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99"/>
    <w:rPr>
      <w:rFonts w:ascii="Avenir Next LT Pro" w:eastAsiaTheme="majorEastAsia" w:hAnsi="Avenir Next LT Pro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A2299"/>
    <w:rPr>
      <w:rFonts w:ascii="Avenir Next LT Pro" w:hAnsi="Avenir Next LT Pro"/>
      <w:color w:val="404040" w:themeColor="text1" w:themeTint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02579"/>
    <w:rPr>
      <w:rFonts w:ascii="Avenir Next LT Pro" w:eastAsiaTheme="majorEastAsia" w:hAnsi="Avenir Next LT Pro" w:cstheme="majorBidi"/>
      <w:b/>
      <w:color w:val="0066B3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6E8A"/>
    <w:rPr>
      <w:rFonts w:ascii="Avenir Next LT Pro" w:eastAsiaTheme="majorEastAsia" w:hAnsi="Avenir Next LT Pro" w:cstheme="majorBidi"/>
      <w:b/>
      <w:iCs/>
      <w:color w:val="595959" w:themeColor="text1" w:themeTint="A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37552"/>
    <w:rPr>
      <w:rFonts w:asciiTheme="majorHAnsi" w:eastAsiaTheme="majorEastAsia" w:hAnsiTheme="majorHAnsi" w:cstheme="majorBidi"/>
      <w:color w:val="004C86" w:themeColor="accent1" w:themeShade="BF"/>
      <w:sz w:val="24"/>
    </w:rPr>
  </w:style>
  <w:style w:type="table" w:customStyle="1" w:styleId="SimpleTable">
    <w:name w:val="Simple Table"/>
    <w:basedOn w:val="TableNormal"/>
    <w:uiPriority w:val="99"/>
    <w:rsid w:val="007C3F0B"/>
    <w:pPr>
      <w:spacing w:after="0" w:line="240" w:lineRule="auto"/>
    </w:p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rPr>
        <w:tblHeader/>
      </w:trPr>
      <w:tcPr>
        <w:shd w:val="clear" w:color="auto" w:fill="0066B3"/>
        <w:vAlign w:val="center"/>
      </w:tcPr>
    </w:tblStylePr>
  </w:style>
  <w:style w:type="table" w:customStyle="1" w:styleId="Style1">
    <w:name w:val="Style1"/>
    <w:basedOn w:val="SimpleTable"/>
    <w:uiPriority w:val="99"/>
    <w:rsid w:val="00191E50"/>
    <w:tblPr/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rPr>
        <w:tblHeader/>
      </w:trPr>
      <w:tcPr>
        <w:shd w:val="clear" w:color="auto" w:fill="0066B3"/>
        <w:vAlign w:val="center"/>
      </w:tcPr>
    </w:tblStylePr>
    <w:tblStylePr w:type="firstCol">
      <w:rPr>
        <w:rFonts w:ascii="Calibri" w:hAnsi="Calibri"/>
        <w:b/>
        <w:sz w:val="24"/>
      </w:rPr>
      <w:tblPr/>
      <w:tcPr>
        <w:shd w:val="clear" w:color="auto" w:fill="7DC7FF"/>
      </w:tcPr>
    </w:tblStylePr>
  </w:style>
  <w:style w:type="character" w:styleId="Strong">
    <w:name w:val="Strong"/>
    <w:basedOn w:val="DefaultParagraphFont"/>
    <w:qFormat/>
    <w:rsid w:val="00D468D5"/>
    <w:rPr>
      <w:b/>
      <w:bCs/>
    </w:rPr>
  </w:style>
  <w:style w:type="paragraph" w:styleId="Title">
    <w:name w:val="Title"/>
    <w:basedOn w:val="Normal"/>
    <w:next w:val="Normal"/>
    <w:link w:val="TitleChar"/>
    <w:qFormat/>
    <w:rsid w:val="00D468D5"/>
    <w:pPr>
      <w:spacing w:before="480" w:after="600" w:line="240" w:lineRule="auto"/>
    </w:pPr>
    <w:rPr>
      <w:rFonts w:ascii="Avenir Next LT Pro" w:eastAsiaTheme="majorEastAsia" w:hAnsi="Avenir Next LT Pro" w:cstheme="majorBidi"/>
      <w:b/>
      <w:color w:val="0066B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468D5"/>
    <w:rPr>
      <w:rFonts w:ascii="Avenir Next LT Pro" w:eastAsiaTheme="majorEastAsia" w:hAnsi="Avenir Next LT Pro" w:cstheme="majorBidi"/>
      <w:b/>
      <w:color w:val="0066B3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D468D5"/>
    <w:pPr>
      <w:numPr>
        <w:ilvl w:val="1"/>
      </w:numPr>
      <w:spacing w:before="360" w:after="360" w:line="240" w:lineRule="auto"/>
    </w:pPr>
    <w:rPr>
      <w:rFonts w:ascii="Avenir Next LT Pro" w:eastAsiaTheme="minorEastAsia" w:hAnsi="Avenir Next LT Pro"/>
      <w:color w:val="5A5A5A" w:themeColor="text1" w:themeTint="A5"/>
      <w:spacing w:val="15"/>
      <w:sz w:val="40"/>
    </w:rPr>
  </w:style>
  <w:style w:type="character" w:customStyle="1" w:styleId="SubtitleChar">
    <w:name w:val="Subtitle Char"/>
    <w:basedOn w:val="DefaultParagraphFont"/>
    <w:link w:val="Subtitle"/>
    <w:rsid w:val="00D468D5"/>
    <w:rPr>
      <w:rFonts w:ascii="Avenir Next LT Pro" w:eastAsiaTheme="minorEastAsia" w:hAnsi="Avenir Next LT Pro"/>
      <w:color w:val="5A5A5A" w:themeColor="text1" w:themeTint="A5"/>
      <w:spacing w:val="15"/>
      <w:sz w:val="40"/>
    </w:rPr>
  </w:style>
  <w:style w:type="paragraph" w:customStyle="1" w:styleId="TitlePageText">
    <w:name w:val="Title Page Text"/>
    <w:basedOn w:val="Normal"/>
    <w:rsid w:val="00D468D5"/>
    <w:rPr>
      <w:rFonts w:ascii="Avenir Next LT Pro" w:hAnsi="Avenir Next LT Pro"/>
      <w:sz w:val="28"/>
    </w:rPr>
  </w:style>
  <w:style w:type="paragraph" w:styleId="Header">
    <w:name w:val="header"/>
    <w:basedOn w:val="Normal"/>
    <w:link w:val="HeaderChar"/>
    <w:uiPriority w:val="99"/>
    <w:unhideWhenUsed/>
    <w:rsid w:val="00B64DBB"/>
    <w:pPr>
      <w:tabs>
        <w:tab w:val="center" w:pos="4680"/>
        <w:tab w:val="right" w:pos="9360"/>
      </w:tabs>
      <w:spacing w:before="0" w:after="0" w:line="240" w:lineRule="auto"/>
    </w:pPr>
    <w:rPr>
      <w:color w:val="FFFFFF" w:themeColor="background1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64DBB"/>
    <w:rPr>
      <w:color w:val="FFFFFF" w:themeColor="background1"/>
      <w:sz w:val="20"/>
    </w:rPr>
  </w:style>
  <w:style w:type="paragraph" w:styleId="Footer">
    <w:name w:val="footer"/>
    <w:basedOn w:val="Normal"/>
    <w:link w:val="FooterChar"/>
    <w:uiPriority w:val="99"/>
    <w:unhideWhenUsed/>
    <w:rsid w:val="001E7FBC"/>
    <w:pPr>
      <w:tabs>
        <w:tab w:val="center" w:pos="4680"/>
        <w:tab w:val="right" w:pos="9360"/>
      </w:tabs>
      <w:spacing w:before="0" w:after="0" w:line="240" w:lineRule="auto"/>
    </w:pPr>
    <w:rPr>
      <w:color w:val="595959" w:themeColor="text1" w:themeTint="A6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1E7FBC"/>
    <w:rPr>
      <w:color w:val="595959" w:themeColor="text1" w:themeTint="A6"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F37552"/>
    <w:pPr>
      <w:numPr>
        <w:numId w:val="9"/>
      </w:numPr>
      <w:contextualSpacing/>
    </w:pPr>
    <w:rPr>
      <w:rFonts w:ascii="Calibri" w:hAnsi="Calibri"/>
    </w:rPr>
  </w:style>
  <w:style w:type="character" w:customStyle="1" w:styleId="ListParagraphChar">
    <w:name w:val="List Paragraph Char"/>
    <w:link w:val="ListParagraph"/>
    <w:uiPriority w:val="34"/>
    <w:locked/>
    <w:rsid w:val="00401C8B"/>
    <w:rPr>
      <w:rFonts w:ascii="Calibri" w:hAnsi="Calibri"/>
      <w:sz w:val="24"/>
    </w:rPr>
  </w:style>
  <w:style w:type="paragraph" w:customStyle="1" w:styleId="Bullet1">
    <w:name w:val="Bullet1"/>
    <w:basedOn w:val="Normal"/>
    <w:qFormat/>
    <w:rsid w:val="00F37552"/>
    <w:pPr>
      <w:numPr>
        <w:numId w:val="13"/>
      </w:numPr>
      <w:spacing w:before="60" w:after="60"/>
      <w:contextualSpacing/>
    </w:pPr>
  </w:style>
  <w:style w:type="paragraph" w:customStyle="1" w:styleId="Bullet2">
    <w:name w:val="Bullet2"/>
    <w:basedOn w:val="Normal"/>
    <w:qFormat/>
    <w:rsid w:val="00F37552"/>
    <w:pPr>
      <w:numPr>
        <w:numId w:val="8"/>
      </w:numPr>
      <w:spacing w:before="60" w:after="60"/>
      <w:contextualSpacing/>
    </w:pPr>
  </w:style>
  <w:style w:type="paragraph" w:customStyle="1" w:styleId="Bullet3">
    <w:name w:val="Bullet3"/>
    <w:basedOn w:val="Normal"/>
    <w:qFormat/>
    <w:rsid w:val="00F37552"/>
    <w:pPr>
      <w:spacing w:before="60" w:after="60"/>
      <w:ind w:left="1166" w:hanging="360"/>
      <w:contextualSpacing/>
    </w:pPr>
  </w:style>
  <w:style w:type="character" w:styleId="PlaceholderText">
    <w:name w:val="Placeholder Text"/>
    <w:basedOn w:val="DefaultParagraphFont"/>
    <w:uiPriority w:val="99"/>
    <w:semiHidden/>
    <w:rsid w:val="00F37552"/>
    <w:rPr>
      <w:color w:val="808080"/>
    </w:rPr>
  </w:style>
  <w:style w:type="table" w:styleId="TableGrid">
    <w:name w:val="Table Grid"/>
    <w:basedOn w:val="TableNormal"/>
    <w:uiPriority w:val="39"/>
    <w:rsid w:val="00F37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F37552"/>
    <w:pPr>
      <w:numPr>
        <w:numId w:val="0"/>
      </w:numPr>
      <w:spacing w:after="0" w:line="259" w:lineRule="auto"/>
      <w:outlineLvl w:val="9"/>
    </w:pPr>
    <w:rPr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37552"/>
    <w:pPr>
      <w:spacing w:before="180" w:after="100"/>
    </w:pPr>
    <w:rPr>
      <w:b/>
      <w:sz w:val="32"/>
    </w:rPr>
  </w:style>
  <w:style w:type="paragraph" w:styleId="TOC2">
    <w:name w:val="toc 2"/>
    <w:basedOn w:val="Normal"/>
    <w:next w:val="Normal"/>
    <w:autoRedefine/>
    <w:uiPriority w:val="39"/>
    <w:unhideWhenUsed/>
    <w:rsid w:val="00F37552"/>
    <w:pPr>
      <w:spacing w:after="100"/>
      <w:ind w:left="240"/>
    </w:pPr>
    <w:rPr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DD4456"/>
    <w:pPr>
      <w:tabs>
        <w:tab w:val="left" w:pos="1320"/>
        <w:tab w:val="right" w:leader="dot" w:pos="9350"/>
      </w:tabs>
      <w:spacing w:after="100"/>
      <w:ind w:left="480"/>
    </w:pPr>
    <w:rPr>
      <w:b/>
      <w:bCs/>
      <w:noProof/>
      <w:color w:val="0066B3" w:themeColor="accent1"/>
    </w:rPr>
  </w:style>
  <w:style w:type="character" w:styleId="Hyperlink">
    <w:name w:val="Hyperlink"/>
    <w:basedOn w:val="DefaultParagraphFont"/>
    <w:uiPriority w:val="99"/>
    <w:unhideWhenUsed/>
    <w:rsid w:val="00F37552"/>
    <w:rPr>
      <w:rFonts w:asciiTheme="minorHAnsi" w:hAnsiTheme="minorHAnsi"/>
      <w:color w:val="0066B3" w:themeColor="hyperlink"/>
      <w:sz w:val="24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F37552"/>
    <w:pPr>
      <w:spacing w:after="100"/>
      <w:ind w:left="720"/>
    </w:pPr>
  </w:style>
  <w:style w:type="paragraph" w:styleId="NoSpacing">
    <w:name w:val="No Spacing"/>
    <w:uiPriority w:val="1"/>
    <w:qFormat/>
    <w:rsid w:val="00F37552"/>
    <w:pPr>
      <w:spacing w:after="0" w:line="240" w:lineRule="auto"/>
    </w:pPr>
    <w:rPr>
      <w:sz w:val="24"/>
    </w:rPr>
  </w:style>
  <w:style w:type="paragraph" w:customStyle="1" w:styleId="Numbullet1">
    <w:name w:val="Num bullet1"/>
    <w:basedOn w:val="Normal"/>
    <w:qFormat/>
    <w:rsid w:val="00F37552"/>
    <w:pPr>
      <w:numPr>
        <w:numId w:val="21"/>
      </w:numPr>
      <w:spacing w:before="60" w:after="60"/>
    </w:pPr>
  </w:style>
  <w:style w:type="paragraph" w:customStyle="1" w:styleId="Numbullet2">
    <w:name w:val="Num bullet2"/>
    <w:basedOn w:val="Normal"/>
    <w:qFormat/>
    <w:rsid w:val="00F37552"/>
    <w:pPr>
      <w:numPr>
        <w:numId w:val="22"/>
      </w:numPr>
      <w:spacing w:before="60"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55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552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F37552"/>
    <w:pPr>
      <w:spacing w:before="0" w:line="240" w:lineRule="auto"/>
    </w:pPr>
    <w:rPr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7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75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75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7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7552"/>
    <w:rPr>
      <w:b/>
      <w:bCs/>
      <w:sz w:val="20"/>
      <w:szCs w:val="20"/>
    </w:rPr>
  </w:style>
  <w:style w:type="paragraph" w:customStyle="1" w:styleId="TableHeading">
    <w:name w:val="Table Heading"/>
    <w:basedOn w:val="Normal"/>
    <w:qFormat/>
    <w:rsid w:val="00801647"/>
    <w:pPr>
      <w:spacing w:before="0" w:after="0" w:line="240" w:lineRule="auto"/>
      <w:jc w:val="center"/>
    </w:pPr>
    <w:rPr>
      <w:b/>
      <w:bCs/>
      <w:color w:val="FFFFFF" w:themeColor="background1"/>
    </w:rPr>
  </w:style>
  <w:style w:type="paragraph" w:customStyle="1" w:styleId="TableText">
    <w:name w:val="Table Text"/>
    <w:basedOn w:val="Normal"/>
    <w:qFormat/>
    <w:rsid w:val="00F37552"/>
    <w:pPr>
      <w:spacing w:before="40" w:after="40" w:line="252" w:lineRule="auto"/>
    </w:pPr>
    <w:rPr>
      <w:sz w:val="22"/>
      <w:szCs w:val="20"/>
    </w:rPr>
  </w:style>
  <w:style w:type="paragraph" w:customStyle="1" w:styleId="TOCSubtitle">
    <w:name w:val="TOC Subtitle"/>
    <w:basedOn w:val="TOCHeading"/>
    <w:next w:val="Normal"/>
    <w:rsid w:val="00F37552"/>
    <w:rPr>
      <w:color w:val="7F7F7F" w:themeColor="text1" w:themeTint="80"/>
      <w:sz w:val="28"/>
    </w:rPr>
  </w:style>
  <w:style w:type="paragraph" w:styleId="TableofFigures">
    <w:name w:val="table of figures"/>
    <w:basedOn w:val="Normal"/>
    <w:next w:val="Normal"/>
    <w:uiPriority w:val="99"/>
    <w:unhideWhenUsed/>
    <w:rsid w:val="00F37552"/>
    <w:pPr>
      <w:spacing w:after="0"/>
    </w:pPr>
    <w:rPr>
      <w:rFonts w:ascii="Calibri" w:hAnsi="Calibri"/>
    </w:rPr>
  </w:style>
  <w:style w:type="paragraph" w:customStyle="1" w:styleId="TableCaption">
    <w:name w:val="Table Caption"/>
    <w:basedOn w:val="Caption"/>
    <w:qFormat/>
    <w:rsid w:val="00A02579"/>
    <w:pPr>
      <w:keepNext/>
      <w:spacing w:before="240" w:after="200"/>
    </w:pPr>
    <w:rPr>
      <w:rFonts w:ascii="Calibri" w:hAnsi="Calibri"/>
      <w:color w:val="000000" w:themeColor="text1" w:themeShade="80"/>
      <w:sz w:val="24"/>
    </w:rPr>
  </w:style>
  <w:style w:type="table" w:customStyle="1" w:styleId="CleanTable">
    <w:name w:val="Clean Table"/>
    <w:basedOn w:val="TableNormal"/>
    <w:uiPriority w:val="99"/>
    <w:rsid w:val="00462D3C"/>
    <w:pPr>
      <w:spacing w:before="240" w:after="240" w:line="240" w:lineRule="auto"/>
    </w:pPr>
    <w:tblPr>
      <w:tblBorders>
        <w:insideV w:val="single" w:sz="4" w:space="0" w:color="0066B3"/>
      </w:tblBorders>
    </w:tblPr>
    <w:tblStylePr w:type="firstRow">
      <w:rPr>
        <w:rFonts w:ascii="Calibri" w:hAnsi="Calibri"/>
        <w:b/>
        <w:caps/>
        <w:smallCaps w:val="0"/>
        <w:strike w:val="0"/>
        <w:dstrike w:val="0"/>
        <w:vanish w:val="0"/>
        <w:sz w:val="24"/>
        <w:vertAlign w:val="baseline"/>
      </w:rPr>
      <w:tblPr/>
      <w:trPr>
        <w:tblHeader/>
      </w:trPr>
      <w:tcPr>
        <w:tcBorders>
          <w:bottom w:val="single" w:sz="4" w:space="0" w:color="0066B3"/>
          <w:insideH w:val="nil"/>
        </w:tcBorders>
      </w:tcPr>
    </w:tblStylePr>
    <w:tblStylePr w:type="firstCol">
      <w:rPr>
        <w:rFonts w:ascii="Calibri" w:hAnsi="Calibri"/>
        <w:b/>
        <w:sz w:val="24"/>
      </w:rPr>
    </w:tblStylePr>
  </w:style>
  <w:style w:type="character" w:styleId="Emphasis">
    <w:name w:val="Emphasis"/>
    <w:basedOn w:val="DefaultParagraphFont"/>
    <w:uiPriority w:val="20"/>
    <w:qFormat/>
    <w:rsid w:val="00A12DC6"/>
    <w:rPr>
      <w:b/>
      <w:i w:val="0"/>
      <w:iCs/>
      <w:color w:val="0066B3"/>
    </w:rPr>
  </w:style>
  <w:style w:type="character" w:styleId="UnresolvedMention">
    <w:name w:val="Unresolved Mention"/>
    <w:basedOn w:val="DefaultParagraphFont"/>
    <w:uiPriority w:val="99"/>
    <w:semiHidden/>
    <w:unhideWhenUsed/>
    <w:rsid w:val="0016544A"/>
    <w:rPr>
      <w:color w:val="605E5C"/>
      <w:shd w:val="clear" w:color="auto" w:fill="E1DFDD"/>
    </w:rPr>
  </w:style>
  <w:style w:type="table" w:customStyle="1" w:styleId="BandedTable">
    <w:name w:val="Banded Table"/>
    <w:basedOn w:val="SimpleTable"/>
    <w:uiPriority w:val="99"/>
    <w:rsid w:val="00C2538D"/>
    <w:tblPr>
      <w:tblStyleRowBandSize w:val="1"/>
    </w:tbl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rPr>
        <w:tblHeader/>
      </w:trPr>
      <w:tcPr>
        <w:shd w:val="clear" w:color="auto" w:fill="0066B3"/>
        <w:vAlign w:val="center"/>
      </w:tcPr>
    </w:tblStylePr>
    <w:tblStylePr w:type="band2Horz">
      <w:rPr>
        <w:color w:val="auto"/>
      </w:rPr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E72CA0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nhideWhenUsed/>
    <w:qFormat/>
    <w:rsid w:val="00784BB5"/>
    <w:pPr>
      <w:spacing w:line="276" w:lineRule="auto"/>
    </w:pPr>
    <w:rPr>
      <w:sz w:val="22"/>
      <w:lang w:val="en-US"/>
    </w:rPr>
  </w:style>
  <w:style w:type="character" w:customStyle="1" w:styleId="BodyTextChar">
    <w:name w:val="Body Text Char"/>
    <w:basedOn w:val="DefaultParagraphFont"/>
    <w:link w:val="BodyText"/>
    <w:rsid w:val="00784BB5"/>
    <w:rPr>
      <w:lang w:val="en-US"/>
    </w:rPr>
  </w:style>
  <w:style w:type="paragraph" w:customStyle="1" w:styleId="Bullet">
    <w:name w:val="Bullet"/>
    <w:basedOn w:val="BodyText"/>
    <w:next w:val="BodyText"/>
    <w:qFormat/>
    <w:rsid w:val="00784BB5"/>
    <w:pPr>
      <w:numPr>
        <w:numId w:val="26"/>
      </w:numPr>
      <w:spacing w:after="160" w:line="240" w:lineRule="auto"/>
    </w:pPr>
    <w:rPr>
      <w:rFonts w:ascii="Calibri" w:eastAsia="Times New Roman" w:hAnsi="Calibri" w:cs="Calibri"/>
      <w:sz w:val="24"/>
    </w:rPr>
  </w:style>
  <w:style w:type="paragraph" w:customStyle="1" w:styleId="Default">
    <w:name w:val="Default"/>
    <w:rsid w:val="00784B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BulletDbl">
    <w:name w:val="Bullet Dbl"/>
    <w:basedOn w:val="BodyText"/>
    <w:qFormat/>
    <w:rsid w:val="00784BB5"/>
    <w:pPr>
      <w:numPr>
        <w:ilvl w:val="1"/>
        <w:numId w:val="27"/>
      </w:numPr>
      <w:ind w:left="634" w:hanging="274"/>
      <w:contextualSpacing/>
    </w:pPr>
    <w:rPr>
      <w:sz w:val="24"/>
      <w:szCs w:val="24"/>
    </w:rPr>
  </w:style>
  <w:style w:type="character" w:customStyle="1" w:styleId="Para0Char">
    <w:name w:val="Para 0 Char"/>
    <w:basedOn w:val="DefaultParagraphFont"/>
    <w:link w:val="Para0"/>
    <w:uiPriority w:val="4"/>
    <w:locked/>
    <w:rsid w:val="00784BB5"/>
    <w:rPr>
      <w:sz w:val="24"/>
      <w:szCs w:val="24"/>
    </w:rPr>
  </w:style>
  <w:style w:type="paragraph" w:customStyle="1" w:styleId="Para0">
    <w:name w:val="Para 0"/>
    <w:basedOn w:val="BodyText"/>
    <w:link w:val="Para0Char"/>
    <w:uiPriority w:val="4"/>
    <w:qFormat/>
    <w:rsid w:val="00784BB5"/>
    <w:rPr>
      <w:sz w:val="24"/>
      <w:szCs w:val="24"/>
      <w:lang w:val="en-CA"/>
    </w:rPr>
  </w:style>
  <w:style w:type="paragraph" w:customStyle="1" w:styleId="TableHead">
    <w:name w:val="Table Head"/>
    <w:basedOn w:val="Normal"/>
    <w:next w:val="Normal"/>
    <w:rsid w:val="00CC5ADD"/>
    <w:pPr>
      <w:numPr>
        <w:numId w:val="29"/>
      </w:numPr>
      <w:spacing w:before="80" w:after="80" w:line="240" w:lineRule="auto"/>
      <w:ind w:left="0" w:firstLine="0"/>
      <w:jc w:val="center"/>
    </w:pPr>
    <w:rPr>
      <w:rFonts w:ascii="Arial" w:eastAsia="Times New Roman" w:hAnsi="Arial" w:cs="Times New Roman"/>
      <w:b/>
      <w:sz w:val="16"/>
      <w:szCs w:val="20"/>
      <w:lang w:val="en-US"/>
    </w:rPr>
  </w:style>
  <w:style w:type="paragraph" w:customStyle="1" w:styleId="TableBody">
    <w:name w:val="Table Body"/>
    <w:basedOn w:val="TableHead"/>
    <w:rsid w:val="00CC5ADD"/>
    <w:pPr>
      <w:spacing w:before="40" w:after="40"/>
      <w:ind w:left="9540" w:hanging="360"/>
      <w:jc w:val="left"/>
    </w:pPr>
    <w:rPr>
      <w:b w:val="0"/>
    </w:rPr>
  </w:style>
  <w:style w:type="paragraph" w:customStyle="1" w:styleId="TableNotes">
    <w:name w:val="Table Notes"/>
    <w:basedOn w:val="TableBody"/>
    <w:rsid w:val="00CC5ADD"/>
    <w:pPr>
      <w:spacing w:after="240"/>
    </w:pPr>
  </w:style>
  <w:style w:type="paragraph" w:customStyle="1" w:styleId="Number">
    <w:name w:val="Number"/>
    <w:basedOn w:val="Bullet"/>
    <w:next w:val="BodyText"/>
    <w:rsid w:val="000670FF"/>
    <w:pPr>
      <w:numPr>
        <w:numId w:val="30"/>
      </w:numPr>
      <w:tabs>
        <w:tab w:val="num" w:pos="360"/>
      </w:tabs>
    </w:pPr>
  </w:style>
  <w:style w:type="paragraph" w:styleId="FootnoteText">
    <w:name w:val="footnote text"/>
    <w:basedOn w:val="BodyText"/>
    <w:link w:val="FootnoteTextChar"/>
    <w:semiHidden/>
    <w:unhideWhenUsed/>
    <w:rsid w:val="00B93FED"/>
    <w:pPr>
      <w:spacing w:after="0" w:line="240" w:lineRule="auto"/>
    </w:pPr>
    <w:rPr>
      <w:rFonts w:ascii="Arial" w:eastAsia="Times New Roman" w:hAnsi="Arial" w:cs="Times New Roman"/>
      <w:sz w:val="16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B93FED"/>
    <w:rPr>
      <w:rFonts w:ascii="Arial" w:eastAsia="Times New Roman" w:hAnsi="Arial" w:cs="Times New Roman"/>
      <w:sz w:val="16"/>
      <w:szCs w:val="24"/>
      <w:lang w:val="en-US"/>
    </w:rPr>
  </w:style>
  <w:style w:type="character" w:styleId="FootnoteReference">
    <w:name w:val="footnote reference"/>
    <w:basedOn w:val="DefaultParagraphFont"/>
    <w:semiHidden/>
    <w:unhideWhenUsed/>
    <w:rsid w:val="00B93FED"/>
    <w:rPr>
      <w:rFonts w:ascii="Arial" w:hAnsi="Arial" w:cs="Arial" w:hint="default"/>
      <w:spacing w:val="0"/>
      <w:position w:val="6"/>
      <w:sz w:val="16"/>
    </w:rPr>
  </w:style>
  <w:style w:type="paragraph" w:styleId="NormalIndent">
    <w:name w:val="Normal Indent"/>
    <w:basedOn w:val="Normal"/>
    <w:semiHidden/>
    <w:unhideWhenUsed/>
    <w:rsid w:val="00FC1310"/>
    <w:pPr>
      <w:spacing w:before="0" w:after="0" w:line="240" w:lineRule="auto"/>
      <w:ind w:left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otnote">
    <w:name w:val="Foot note"/>
    <w:basedOn w:val="FootnoteText"/>
    <w:rsid w:val="00FC1310"/>
  </w:style>
  <w:style w:type="character" w:customStyle="1" w:styleId="BulletSingleChar">
    <w:name w:val="Bullet Single Char"/>
    <w:basedOn w:val="DefaultParagraphFont"/>
    <w:link w:val="BulletSingle"/>
    <w:locked/>
    <w:rsid w:val="00BD0C47"/>
    <w:rPr>
      <w:noProof/>
    </w:rPr>
  </w:style>
  <w:style w:type="paragraph" w:customStyle="1" w:styleId="BulletSingle">
    <w:name w:val="Bullet Single"/>
    <w:basedOn w:val="Normal"/>
    <w:link w:val="BulletSingleChar"/>
    <w:rsid w:val="00BD0C47"/>
    <w:pPr>
      <w:tabs>
        <w:tab w:val="left" w:pos="288"/>
      </w:tabs>
      <w:spacing w:before="0" w:after="40" w:line="240" w:lineRule="auto"/>
      <w:ind w:left="288" w:hanging="288"/>
    </w:pPr>
    <w:rPr>
      <w:noProof/>
      <w:sz w:val="22"/>
    </w:rPr>
  </w:style>
  <w:style w:type="paragraph" w:customStyle="1" w:styleId="Divider">
    <w:name w:val="Divider"/>
    <w:basedOn w:val="Heading2"/>
    <w:qFormat/>
    <w:rsid w:val="00BD0C47"/>
    <w:pPr>
      <w:numPr>
        <w:ilvl w:val="0"/>
        <w:numId w:val="0"/>
      </w:numPr>
      <w:spacing w:before="3000"/>
      <w:ind w:left="900" w:hanging="900"/>
      <w:jc w:val="right"/>
    </w:pPr>
  </w:style>
  <w:style w:type="paragraph" w:customStyle="1" w:styleId="CoverHeading2">
    <w:name w:val="Cover Heading 2"/>
    <w:basedOn w:val="Normal"/>
    <w:rsid w:val="00BD0C47"/>
    <w:pPr>
      <w:spacing w:before="0" w:after="200" w:line="360" w:lineRule="exact"/>
      <w:ind w:right="851"/>
      <w:jc w:val="right"/>
    </w:pPr>
    <w:rPr>
      <w:rFonts w:ascii="Jacobs Chronos" w:eastAsiaTheme="minorEastAsia" w:hAnsi="Jacobs Chronos" w:cs="Jacobs Chronos"/>
      <w:b/>
      <w:sz w:val="32"/>
      <w:szCs w:val="24"/>
      <w:lang w:val="en-US"/>
    </w:rPr>
  </w:style>
  <w:style w:type="paragraph" w:customStyle="1" w:styleId="CoverDate2">
    <w:name w:val="Cover Date 2"/>
    <w:basedOn w:val="Normal"/>
    <w:rsid w:val="00BD0C47"/>
    <w:pPr>
      <w:spacing w:before="0" w:after="200" w:line="280" w:lineRule="exact"/>
      <w:ind w:right="851"/>
      <w:jc w:val="right"/>
    </w:pPr>
    <w:rPr>
      <w:rFonts w:ascii="Jacobs Chronos" w:eastAsiaTheme="minorEastAsia" w:hAnsi="Jacobs Chronos" w:cs="Jacobs Chronos"/>
      <w:b/>
      <w:color w:val="6C6F70"/>
      <w:szCs w:val="24"/>
      <w:lang w:val="en-US"/>
    </w:rPr>
  </w:style>
  <w:style w:type="paragraph" w:customStyle="1" w:styleId="CoverTitle">
    <w:name w:val="Cover Title"/>
    <w:basedOn w:val="CoverHeading2"/>
    <w:rsid w:val="00BD0C47"/>
    <w:rPr>
      <w:sz w:val="24"/>
    </w:rPr>
  </w:style>
  <w:style w:type="paragraph" w:customStyle="1" w:styleId="Summary">
    <w:name w:val="Summary"/>
    <w:basedOn w:val="Normal"/>
    <w:next w:val="Normal"/>
    <w:uiPriority w:val="1"/>
    <w:qFormat/>
    <w:rsid w:val="00401C8B"/>
    <w:pPr>
      <w:pageBreakBefore/>
      <w:spacing w:before="0" w:line="320" w:lineRule="exact"/>
    </w:pPr>
    <w:rPr>
      <w:rFonts w:ascii="Jacobs Chronos" w:eastAsiaTheme="minorEastAsia" w:hAnsi="Jacobs Chronos" w:cs="Jacobs Chronos"/>
      <w:b/>
      <w:sz w:val="32"/>
      <w:szCs w:val="24"/>
      <w:lang w:val="en-US"/>
    </w:rPr>
  </w:style>
  <w:style w:type="paragraph" w:customStyle="1" w:styleId="AppESHeading1">
    <w:name w:val="App ES Heading 1"/>
    <w:basedOn w:val="Heading1"/>
    <w:qFormat/>
    <w:rsid w:val="00401C8B"/>
    <w:pPr>
      <w:numPr>
        <w:numId w:val="0"/>
      </w:numPr>
      <w:ind w:left="720" w:hanging="720"/>
    </w:pPr>
  </w:style>
  <w:style w:type="character" w:customStyle="1" w:styleId="ExampleTEXTChar1">
    <w:name w:val="Example TEXT Char1"/>
    <w:link w:val="ExampleTEXT"/>
    <w:locked/>
    <w:rsid w:val="00401C8B"/>
    <w:rPr>
      <w:rFonts w:ascii="Arial" w:eastAsia="Calibri" w:hAnsi="Arial" w:cs="Times New Roman"/>
      <w:color w:val="808080"/>
      <w:sz w:val="16"/>
      <w:lang w:val="x-none" w:eastAsia="x-none"/>
    </w:rPr>
  </w:style>
  <w:style w:type="paragraph" w:customStyle="1" w:styleId="ExampleTEXT">
    <w:name w:val="Example TEXT"/>
    <w:basedOn w:val="ListParagraph"/>
    <w:link w:val="ExampleTEXTChar1"/>
    <w:autoRedefine/>
    <w:qFormat/>
    <w:rsid w:val="00401C8B"/>
    <w:pPr>
      <w:numPr>
        <w:numId w:val="0"/>
      </w:numPr>
      <w:spacing w:before="0" w:line="240" w:lineRule="auto"/>
    </w:pPr>
    <w:rPr>
      <w:rFonts w:ascii="Arial" w:eastAsia="Calibri" w:hAnsi="Arial" w:cs="Times New Roman"/>
      <w:color w:val="808080"/>
      <w:sz w:val="16"/>
      <w:lang w:val="x-none" w:eastAsia="x-none"/>
    </w:rPr>
  </w:style>
  <w:style w:type="paragraph" w:customStyle="1" w:styleId="AppHeading1">
    <w:name w:val="App Heading 1"/>
    <w:basedOn w:val="Heading1"/>
    <w:qFormat/>
    <w:rsid w:val="008A2299"/>
  </w:style>
  <w:style w:type="paragraph" w:customStyle="1" w:styleId="AppHeading2">
    <w:name w:val="App Heading 2"/>
    <w:basedOn w:val="Heading2"/>
    <w:qFormat/>
    <w:rsid w:val="00401C8B"/>
  </w:style>
  <w:style w:type="paragraph" w:customStyle="1" w:styleId="AppHeading3">
    <w:name w:val="App Heading 3"/>
    <w:basedOn w:val="Heading3"/>
    <w:qFormat/>
    <w:rsid w:val="00C247BF"/>
  </w:style>
  <w:style w:type="paragraph" w:customStyle="1" w:styleId="TableBullet">
    <w:name w:val="Table Bullet"/>
    <w:basedOn w:val="Bullet1"/>
    <w:qFormat/>
    <w:rsid w:val="00270AF8"/>
    <w:pPr>
      <w:ind w:left="275" w:hanging="275"/>
    </w:pPr>
    <w:rPr>
      <w:sz w:val="22"/>
    </w:rPr>
  </w:style>
  <w:style w:type="table" w:customStyle="1" w:styleId="TableGrid1">
    <w:name w:val="Table Grid1"/>
    <w:basedOn w:val="TableNormal"/>
    <w:uiPriority w:val="59"/>
    <w:rsid w:val="00270AF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98" Type="http://schemas.openxmlformats.org/officeDocument/2006/relationships/image" Target="media/image2.jpeg"/><Relationship Id="rId3" Type="http://schemas.openxmlformats.org/officeDocument/2006/relationships/styles" Target="styles.xml"/><Relationship Id="rId97" Type="http://schemas.openxmlformats.org/officeDocument/2006/relationships/hyperlink" Target="mailto:info@peelregion.ca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hyperlink" Target="mailto:info@peelregion.ca" TargetMode="External"/><Relationship Id="rId99" Type="http://schemas.openxmlformats.org/officeDocument/2006/relationships/header" Target="header2.xm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0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eelRegio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6B3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66B3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808C4-1328-4F78-B1EB-5D8A885E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Vertical CADD Standards Version 1.3 November 2020</vt:lpstr>
    </vt:vector>
  </TitlesOfParts>
  <Company>Region of Peel</Company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Vertical CADD Standards Version 1.3 November 2020</dc:title>
  <dc:subject/>
  <dc:creator>MacEachern, Stephen</dc:creator>
  <cp:keywords/>
  <dc:description/>
  <cp:lastModifiedBy>Ross, Deborah/TOR</cp:lastModifiedBy>
  <cp:revision>2</cp:revision>
  <dcterms:created xsi:type="dcterms:W3CDTF">2020-11-16T22:54:00Z</dcterms:created>
  <dcterms:modified xsi:type="dcterms:W3CDTF">2020-11-16T22:54:00Z</dcterms:modified>
</cp:coreProperties>
</file>